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C4287" w14:textId="77777777" w:rsidR="00D5547E" w:rsidRPr="009E51FC" w:rsidRDefault="00D5547E" w:rsidP="004A6D2F"/>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7D3AD8C1" w14:textId="77777777" w:rsidTr="005F7F7E">
        <w:trPr>
          <w:gridAfter w:val="1"/>
          <w:wAfter w:w="11" w:type="dxa"/>
        </w:trPr>
        <w:tc>
          <w:tcPr>
            <w:tcW w:w="2438" w:type="dxa"/>
            <w:gridSpan w:val="3"/>
            <w:shd w:val="clear" w:color="auto" w:fill="auto"/>
          </w:tcPr>
          <w:p w14:paraId="6750EDB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26BB5F11" w14:textId="77777777" w:rsidR="00F445B1" w:rsidRPr="00F95BC9" w:rsidRDefault="00DB7AD7" w:rsidP="004A6D2F">
            <w:pPr>
              <w:rPr>
                <w:rStyle w:val="Firstpagetablebold"/>
              </w:rPr>
            </w:pPr>
            <w:r>
              <w:rPr>
                <w:rStyle w:val="Firstpagetablebold"/>
              </w:rPr>
              <w:t>Cabinet</w:t>
            </w:r>
          </w:p>
        </w:tc>
      </w:tr>
      <w:tr w:rsidR="00CE544A" w:rsidRPr="00975B07" w14:paraId="40FDCC8D" w14:textId="77777777" w:rsidTr="005F7F7E">
        <w:trPr>
          <w:gridAfter w:val="1"/>
          <w:wAfter w:w="11" w:type="dxa"/>
        </w:trPr>
        <w:tc>
          <w:tcPr>
            <w:tcW w:w="2438" w:type="dxa"/>
            <w:gridSpan w:val="3"/>
            <w:shd w:val="clear" w:color="auto" w:fill="auto"/>
          </w:tcPr>
          <w:p w14:paraId="559A4C3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1B69B2D1" w14:textId="4A2A63C5" w:rsidR="00F445B1" w:rsidRPr="001356F1" w:rsidRDefault="00261EB6" w:rsidP="005D0621">
            <w:pPr>
              <w:rPr>
                <w:b/>
              </w:rPr>
            </w:pPr>
            <w:r>
              <w:rPr>
                <w:rStyle w:val="Firstpagetablebold"/>
              </w:rPr>
              <w:t xml:space="preserve">9 </w:t>
            </w:r>
            <w:r w:rsidR="00076B64">
              <w:rPr>
                <w:rStyle w:val="Firstpagetablebold"/>
              </w:rPr>
              <w:t xml:space="preserve">December </w:t>
            </w:r>
            <w:r w:rsidR="0037187C">
              <w:rPr>
                <w:rStyle w:val="Firstpagetablebold"/>
              </w:rPr>
              <w:t>2020</w:t>
            </w:r>
          </w:p>
        </w:tc>
      </w:tr>
      <w:tr w:rsidR="00CE544A" w:rsidRPr="00975B07" w14:paraId="3504FF7D" w14:textId="77777777" w:rsidTr="005F7F7E">
        <w:trPr>
          <w:gridAfter w:val="1"/>
          <w:wAfter w:w="11" w:type="dxa"/>
        </w:trPr>
        <w:tc>
          <w:tcPr>
            <w:tcW w:w="2438" w:type="dxa"/>
            <w:gridSpan w:val="3"/>
            <w:shd w:val="clear" w:color="auto" w:fill="auto"/>
          </w:tcPr>
          <w:p w14:paraId="639D01C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195A3737" w14:textId="77777777" w:rsidR="00F445B1" w:rsidRPr="001356F1" w:rsidRDefault="00FD1DFA" w:rsidP="0037187C">
            <w:pPr>
              <w:rPr>
                <w:rStyle w:val="Firstpagetablebold"/>
              </w:rPr>
            </w:pPr>
            <w:r w:rsidRPr="001356F1">
              <w:rPr>
                <w:rStyle w:val="Firstpagetablebold"/>
              </w:rPr>
              <w:t xml:space="preserve">Executive Director </w:t>
            </w:r>
            <w:r w:rsidR="0037187C">
              <w:rPr>
                <w:rStyle w:val="Firstpagetablebold"/>
              </w:rPr>
              <w:t>(Development)</w:t>
            </w:r>
          </w:p>
        </w:tc>
      </w:tr>
      <w:tr w:rsidR="00CE544A" w:rsidRPr="00975B07" w14:paraId="5E27D563" w14:textId="77777777" w:rsidTr="005F7F7E">
        <w:trPr>
          <w:gridAfter w:val="1"/>
          <w:wAfter w:w="11" w:type="dxa"/>
        </w:trPr>
        <w:tc>
          <w:tcPr>
            <w:tcW w:w="2438" w:type="dxa"/>
            <w:gridSpan w:val="3"/>
            <w:shd w:val="clear" w:color="auto" w:fill="auto"/>
          </w:tcPr>
          <w:p w14:paraId="1BCA3554"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376CA5F7" w14:textId="7AA4EAD2" w:rsidR="00CE2C77" w:rsidRPr="001356F1" w:rsidRDefault="006F19CC" w:rsidP="006F19CC">
            <w:pPr>
              <w:rPr>
                <w:rStyle w:val="Firstpagetablebold"/>
              </w:rPr>
            </w:pPr>
            <w:r>
              <w:rPr>
                <w:rStyle w:val="Firstpagetablebold"/>
              </w:rPr>
              <w:t>Meanwhile in Oxfordshire</w:t>
            </w:r>
            <w:r w:rsidR="00A7422F">
              <w:rPr>
                <w:rStyle w:val="Firstpagetablebold"/>
              </w:rPr>
              <w:t xml:space="preserve"> </w:t>
            </w:r>
          </w:p>
        </w:tc>
      </w:tr>
      <w:tr w:rsidR="00D5547E" w14:paraId="0CCCD6E8"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528D2B8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FC72290"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295D4079"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797F32A7" w14:textId="61760986" w:rsidR="0028559E" w:rsidRPr="001356F1" w:rsidRDefault="0037187C" w:rsidP="009D7CEB">
            <w:r w:rsidRPr="0037187C">
              <w:t>To seek approval to</w:t>
            </w:r>
            <w:r w:rsidR="00B811F9" w:rsidRPr="0037187C">
              <w:t xml:space="preserve"> enter int</w:t>
            </w:r>
            <w:r w:rsidR="0028559E">
              <w:t>o a £1.875</w:t>
            </w:r>
            <w:r w:rsidR="003D078E">
              <w:t>m Funding Agreement</w:t>
            </w:r>
            <w:r w:rsidR="00B811F9" w:rsidRPr="0037187C">
              <w:t xml:space="preserve"> with Oxfordshire Local Enterprise Partnership </w:t>
            </w:r>
            <w:r w:rsidR="00B811F9">
              <w:t>to</w:t>
            </w:r>
            <w:r w:rsidR="00B811F9" w:rsidRPr="0037187C">
              <w:t xml:space="preserve"> </w:t>
            </w:r>
            <w:r w:rsidR="003D078E">
              <w:t xml:space="preserve">support </w:t>
            </w:r>
            <w:r w:rsidR="00B811F9" w:rsidRPr="0037187C">
              <w:t xml:space="preserve">the </w:t>
            </w:r>
            <w:r w:rsidR="0028559E">
              <w:t>‘Meanwhile in Oxfordshire…’</w:t>
            </w:r>
            <w:r w:rsidR="009D7CEB">
              <w:t xml:space="preserve"> project</w:t>
            </w:r>
            <w:r w:rsidR="0028559E">
              <w:t xml:space="preserve"> </w:t>
            </w:r>
            <w:r w:rsidR="009D7CEB">
              <w:t xml:space="preserve">and to procure an operator to identify </w:t>
            </w:r>
            <w:r w:rsidR="0028559E">
              <w:t>fit out</w:t>
            </w:r>
            <w:r w:rsidR="009D7CEB">
              <w:t xml:space="preserve"> and let </w:t>
            </w:r>
            <w:r w:rsidR="00E66EF3">
              <w:t xml:space="preserve">vacant </w:t>
            </w:r>
            <w:r w:rsidR="009D7CEB">
              <w:t xml:space="preserve">commercial </w:t>
            </w:r>
            <w:r w:rsidR="00396D00">
              <w:t xml:space="preserve">units </w:t>
            </w:r>
            <w:r w:rsidR="009D7CEB">
              <w:t xml:space="preserve">across the </w:t>
            </w:r>
            <w:r w:rsidR="0028559E">
              <w:t>county</w:t>
            </w:r>
            <w:r w:rsidR="00BC4C28">
              <w:t>.</w:t>
            </w:r>
            <w:r w:rsidR="0028559E">
              <w:t xml:space="preserve"> </w:t>
            </w:r>
          </w:p>
        </w:tc>
      </w:tr>
      <w:tr w:rsidR="00D5547E" w14:paraId="591C913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585A563"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63268DD8" w14:textId="77777777" w:rsidR="00D5547E" w:rsidRPr="001356F1" w:rsidRDefault="00D5547E" w:rsidP="00ED3534">
            <w:r w:rsidRPr="001356F1">
              <w:t xml:space="preserve">Yes </w:t>
            </w:r>
          </w:p>
        </w:tc>
      </w:tr>
      <w:tr w:rsidR="00D5547E" w14:paraId="615BA085"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7FC3E47"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62EE0C52" w14:textId="411544A0" w:rsidR="00D5547E" w:rsidRPr="001356F1" w:rsidRDefault="0049524D" w:rsidP="009D7CEB">
            <w:r>
              <w:t>Councillor Susan Brown, Leader and Cabinet Member for Economic Development &amp; Partnerships</w:t>
            </w:r>
          </w:p>
        </w:tc>
      </w:tr>
      <w:tr w:rsidR="0080749A" w14:paraId="1E3D0AC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29FC64" w14:textId="2A036CFA" w:rsidR="0080749A" w:rsidRDefault="006F19CC">
            <w:pPr>
              <w:rPr>
                <w:rStyle w:val="Firstpagetablebold"/>
              </w:rPr>
            </w:pPr>
            <w:r>
              <w:rPr>
                <w:rStyle w:val="Firstpagetablebold"/>
              </w:rPr>
              <w:t>Corporate Priorities</w:t>
            </w:r>
            <w:r w:rsidR="0080749A">
              <w:rPr>
                <w:rStyle w:val="Firstpagetablebold"/>
              </w:rPr>
              <w:t>:</w:t>
            </w:r>
          </w:p>
        </w:tc>
        <w:tc>
          <w:tcPr>
            <w:tcW w:w="6407" w:type="dxa"/>
            <w:gridSpan w:val="2"/>
            <w:tcBorders>
              <w:top w:val="nil"/>
              <w:left w:val="nil"/>
              <w:bottom w:val="nil"/>
              <w:right w:val="single" w:sz="8" w:space="0" w:color="000000"/>
            </w:tcBorders>
          </w:tcPr>
          <w:p w14:paraId="60787A27" w14:textId="489E95C0" w:rsidR="0080749A" w:rsidRDefault="006F19CC" w:rsidP="00E224B4">
            <w:r w:rsidRPr="006F19CC">
              <w:t>Foster</w:t>
            </w:r>
            <w:r>
              <w:t xml:space="preserve"> an inclusive economy; Support Flourishing Communities</w:t>
            </w:r>
          </w:p>
          <w:p w14:paraId="4CC43549" w14:textId="359D0DCC" w:rsidR="006F19CC" w:rsidRPr="006F19CC" w:rsidRDefault="006F19CC" w:rsidP="00E224B4"/>
        </w:tc>
      </w:tr>
      <w:tr w:rsidR="00D5547E" w14:paraId="018CF1EE"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26D29B21"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789614FB" w14:textId="6C3D5D0F" w:rsidR="0037187C" w:rsidRPr="006F19CC" w:rsidRDefault="006F19CC" w:rsidP="0037187C">
            <w:r>
              <w:t>Council Strategy 2020-24.</w:t>
            </w:r>
          </w:p>
          <w:p w14:paraId="6435DDDA" w14:textId="5D789B71" w:rsidR="00877B37" w:rsidRPr="001356F1" w:rsidRDefault="006F19CC" w:rsidP="006F19CC">
            <w:r w:rsidRPr="001356F1">
              <w:t xml:space="preserve"> </w:t>
            </w:r>
          </w:p>
        </w:tc>
      </w:tr>
      <w:tr w:rsidR="005F7F7E" w:rsidRPr="00975B07" w14:paraId="3CF61892" w14:textId="77777777" w:rsidTr="00E657D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1729E2FF" w14:textId="36DC147E" w:rsidR="005F7F7E" w:rsidRPr="00975B07" w:rsidRDefault="004A2943" w:rsidP="009623B8">
            <w:r>
              <w:rPr>
                <w:rStyle w:val="Firstpagetablebold"/>
              </w:rPr>
              <w:t>Recommendation</w:t>
            </w:r>
            <w:r w:rsidR="006F19CC">
              <w:rPr>
                <w:rStyle w:val="Firstpagetablebold"/>
              </w:rPr>
              <w:t>s</w:t>
            </w:r>
            <w:r w:rsidR="005F7F7E">
              <w:rPr>
                <w:rStyle w:val="Firstpagetablebold"/>
              </w:rPr>
              <w:t>:</w:t>
            </w:r>
            <w:r w:rsidR="00E85D7E">
              <w:rPr>
                <w:rStyle w:val="Firstpagetablebold"/>
              </w:rPr>
              <w:t xml:space="preserve"> </w:t>
            </w:r>
            <w:r w:rsidR="005F7F7E" w:rsidRPr="004A2943">
              <w:rPr>
                <w:rStyle w:val="Firstpagetablebold"/>
                <w:b w:val="0"/>
              </w:rPr>
              <w:t xml:space="preserve">That </w:t>
            </w:r>
            <w:r w:rsidR="00DB7AD7" w:rsidRPr="004A2943">
              <w:rPr>
                <w:rStyle w:val="Firstpagetablebold"/>
                <w:b w:val="0"/>
              </w:rPr>
              <w:t>Cabinet</w:t>
            </w:r>
            <w:r w:rsidR="005F7F7E" w:rsidRPr="004A2943">
              <w:rPr>
                <w:rStyle w:val="Firstpagetablebold"/>
                <w:b w:val="0"/>
              </w:rPr>
              <w:t xml:space="preserve"> resolves to</w:t>
            </w:r>
            <w:r w:rsidR="006F19CC">
              <w:rPr>
                <w:rStyle w:val="Firstpagetablebold"/>
                <w:b w:val="0"/>
              </w:rPr>
              <w:t>:</w:t>
            </w:r>
          </w:p>
        </w:tc>
      </w:tr>
      <w:tr w:rsidR="0030208D" w:rsidRPr="00975B07" w14:paraId="1DB46DAD" w14:textId="77777777" w:rsidTr="006F19C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8" w:space="0" w:color="000000"/>
              <w:right w:val="nil"/>
            </w:tcBorders>
          </w:tcPr>
          <w:p w14:paraId="48196667" w14:textId="39ACCAF9" w:rsidR="0030208D" w:rsidRPr="00975B07" w:rsidRDefault="0030208D" w:rsidP="004A6D2F"/>
        </w:tc>
        <w:tc>
          <w:tcPr>
            <w:tcW w:w="8419" w:type="dxa"/>
            <w:gridSpan w:val="4"/>
            <w:tcBorders>
              <w:top w:val="single" w:sz="8" w:space="0" w:color="000000"/>
              <w:left w:val="nil"/>
              <w:bottom w:val="single" w:sz="4" w:space="0" w:color="auto"/>
              <w:right w:val="single" w:sz="8" w:space="0" w:color="000000"/>
            </w:tcBorders>
            <w:shd w:val="clear" w:color="auto" w:fill="auto"/>
          </w:tcPr>
          <w:p w14:paraId="036F95B4" w14:textId="77777777" w:rsidR="00F6011A" w:rsidRDefault="0037187C" w:rsidP="006F19CC">
            <w:pPr>
              <w:pStyle w:val="ListParagraph"/>
              <w:numPr>
                <w:ilvl w:val="0"/>
                <w:numId w:val="56"/>
              </w:numPr>
            </w:pPr>
            <w:r w:rsidRPr="0037187C">
              <w:rPr>
                <w:rStyle w:val="Firstpagetablebold"/>
              </w:rPr>
              <w:t xml:space="preserve">Delegate authority </w:t>
            </w:r>
            <w:r w:rsidRPr="006F19CC">
              <w:rPr>
                <w:rStyle w:val="Firstpagetablebold"/>
                <w:b w:val="0"/>
              </w:rPr>
              <w:t>to the Executive Director</w:t>
            </w:r>
            <w:r w:rsidR="009D7CEB" w:rsidRPr="006F19CC">
              <w:rPr>
                <w:rStyle w:val="Firstpagetablebold"/>
                <w:b w:val="0"/>
              </w:rPr>
              <w:t>-</w:t>
            </w:r>
            <w:r w:rsidRPr="006F19CC">
              <w:rPr>
                <w:rStyle w:val="Firstpagetablebold"/>
                <w:b w:val="0"/>
              </w:rPr>
              <w:t>Development, in consultation with the Council’s Section 151 Officer</w:t>
            </w:r>
            <w:r w:rsidR="00F6011A" w:rsidRPr="006F19CC">
              <w:rPr>
                <w:rStyle w:val="Firstpagetablebold"/>
                <w:b w:val="0"/>
              </w:rPr>
              <w:t xml:space="preserve">, </w:t>
            </w:r>
            <w:r w:rsidRPr="006F19CC">
              <w:rPr>
                <w:rStyle w:val="Firstpagetablebold"/>
                <w:b w:val="0"/>
              </w:rPr>
              <w:t>the Head of Law and Governance</w:t>
            </w:r>
            <w:r w:rsidR="00F6011A" w:rsidRPr="006F19CC">
              <w:rPr>
                <w:rStyle w:val="Firstpagetablebold"/>
                <w:b w:val="0"/>
              </w:rPr>
              <w:t xml:space="preserve"> and the Leader of the Council</w:t>
            </w:r>
            <w:r w:rsidR="000264F9" w:rsidRPr="006F19CC">
              <w:rPr>
                <w:rStyle w:val="Firstpagetablebold"/>
                <w:b w:val="0"/>
              </w:rPr>
              <w:t>,</w:t>
            </w:r>
            <w:r w:rsidRPr="006F19CC">
              <w:rPr>
                <w:rStyle w:val="Firstpagetablebold"/>
                <w:b w:val="0"/>
              </w:rPr>
              <w:t xml:space="preserve"> to agree and enter into grant funding arrangements and contra</w:t>
            </w:r>
            <w:r w:rsidR="0028559E" w:rsidRPr="006F19CC">
              <w:rPr>
                <w:rStyle w:val="Firstpagetablebold"/>
                <w:b w:val="0"/>
              </w:rPr>
              <w:t>ctual terms with OxLEP for £1.875</w:t>
            </w:r>
            <w:r w:rsidRPr="006F19CC">
              <w:rPr>
                <w:rStyle w:val="Firstpagetablebold"/>
                <w:b w:val="0"/>
              </w:rPr>
              <w:t xml:space="preserve">m in </w:t>
            </w:r>
            <w:r w:rsidR="002F113A" w:rsidRPr="006F19CC">
              <w:rPr>
                <w:rStyle w:val="Firstpagetablebold"/>
                <w:b w:val="0"/>
              </w:rPr>
              <w:t xml:space="preserve">Getting Building Fund </w:t>
            </w:r>
            <w:r w:rsidR="0028559E" w:rsidRPr="006F19CC">
              <w:rPr>
                <w:rStyle w:val="Firstpagetablebold"/>
                <w:b w:val="0"/>
              </w:rPr>
              <w:t>f</w:t>
            </w:r>
            <w:r w:rsidRPr="006F19CC">
              <w:rPr>
                <w:rStyle w:val="Firstpagetablebold"/>
                <w:b w:val="0"/>
              </w:rPr>
              <w:t xml:space="preserve">unds for the delivery of </w:t>
            </w:r>
            <w:r w:rsidR="00916F94">
              <w:t>‘Meanwhile in Oxfordshire…’</w:t>
            </w:r>
            <w:r w:rsidR="006F19CC">
              <w:t>;</w:t>
            </w:r>
          </w:p>
          <w:p w14:paraId="6C413EF1" w14:textId="77777777" w:rsidR="006F19CC" w:rsidRDefault="006F19CC" w:rsidP="006F19CC">
            <w:pPr>
              <w:pStyle w:val="ListParagraph"/>
              <w:numPr>
                <w:ilvl w:val="0"/>
                <w:numId w:val="56"/>
              </w:numPr>
            </w:pPr>
            <w:r w:rsidRPr="006F19CC">
              <w:rPr>
                <w:b/>
              </w:rPr>
              <w:t xml:space="preserve">Draw down the £1.875m </w:t>
            </w:r>
            <w:r w:rsidRPr="00E66EF3">
              <w:t xml:space="preserve">and </w:t>
            </w:r>
            <w:r>
              <w:rPr>
                <w:rStyle w:val="Firstpagetablebold"/>
              </w:rPr>
              <w:t>d</w:t>
            </w:r>
            <w:r w:rsidRPr="0037187C">
              <w:rPr>
                <w:rStyle w:val="Firstpagetablebold"/>
              </w:rPr>
              <w:t xml:space="preserve">elegate authority </w:t>
            </w:r>
            <w:r w:rsidRPr="006F19CC">
              <w:rPr>
                <w:rStyle w:val="Firstpagetablebold"/>
                <w:b w:val="0"/>
              </w:rPr>
              <w:t xml:space="preserve">to the Executive Director – Development, in consultation with the Council’s Section 151 Officer, the Head of Law and Governance and the Leader of the Council to </w:t>
            </w:r>
            <w:r w:rsidRPr="00E66EF3">
              <w:t>enter into contract with an operator, subject to a</w:t>
            </w:r>
            <w:r>
              <w:t>n appropriate</w:t>
            </w:r>
            <w:r w:rsidRPr="00E66EF3">
              <w:t xml:space="preserve"> procurement process</w:t>
            </w:r>
            <w:r>
              <w:t>; and to</w:t>
            </w:r>
            <w:r w:rsidRPr="00E66EF3">
              <w:t xml:space="preserve"> allocate appropriate internal project management resource to deliver the project</w:t>
            </w:r>
            <w:r>
              <w:t xml:space="preserve"> from the allocated funding; and</w:t>
            </w:r>
          </w:p>
          <w:p w14:paraId="39B9E05F" w14:textId="47514DF4" w:rsidR="006F19CC" w:rsidRDefault="006F19CC" w:rsidP="00150D52">
            <w:pPr>
              <w:pStyle w:val="ListParagraph"/>
              <w:numPr>
                <w:ilvl w:val="0"/>
                <w:numId w:val="56"/>
              </w:numPr>
            </w:pPr>
            <w:bookmarkStart w:id="0" w:name="_GoBack"/>
            <w:bookmarkEnd w:id="0"/>
            <w:r w:rsidRPr="0037187C">
              <w:rPr>
                <w:rStyle w:val="Firstpagetablebold"/>
              </w:rPr>
              <w:t xml:space="preserve">Delegate authority </w:t>
            </w:r>
            <w:r w:rsidRPr="009623B8">
              <w:t xml:space="preserve">to the Executive Director-Development to take any further steps necessary to comply with the grant funding conditions and to deliver the project within the identified budget in order to meet the challenging timescales of the </w:t>
            </w:r>
            <w:r w:rsidR="00150D52">
              <w:t xml:space="preserve">project </w:t>
            </w:r>
            <w:r w:rsidR="00150D52" w:rsidRPr="00150D52">
              <w:rPr>
                <w:rFonts w:cs="Arial"/>
              </w:rPr>
              <w:t>including explicit permission to enter into an OJEU compliant procurement process and taking account of any prevailing UK legislation at time of procurement to</w:t>
            </w:r>
            <w:r w:rsidR="00150D52" w:rsidRPr="00150D52">
              <w:rPr>
                <w:rFonts w:cs="Arial"/>
              </w:rPr>
              <w:t xml:space="preserve"> contract a Meanwhile Operator.</w:t>
            </w:r>
          </w:p>
          <w:p w14:paraId="117A58FC" w14:textId="5EE40283" w:rsidR="006F19CC" w:rsidRPr="001356F1" w:rsidRDefault="006F19CC" w:rsidP="0028559E"/>
        </w:tc>
      </w:tr>
    </w:tbl>
    <w:p w14:paraId="1B9C8817" w14:textId="77777777" w:rsidR="00CE2C77" w:rsidRPr="009E51FC" w:rsidRDefault="00CE2C7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0047311"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FDB48E" w14:textId="77777777" w:rsidR="00966D42" w:rsidRPr="00975B07" w:rsidRDefault="00966D42" w:rsidP="00263EA3">
            <w:pPr>
              <w:jc w:val="center"/>
            </w:pPr>
            <w:r w:rsidRPr="00745BF0">
              <w:rPr>
                <w:rStyle w:val="Firstpagetablebold"/>
              </w:rPr>
              <w:t>Appendices</w:t>
            </w:r>
          </w:p>
        </w:tc>
      </w:tr>
      <w:tr w:rsidR="0030208D" w:rsidRPr="00975B07" w14:paraId="355EE19F" w14:textId="77777777" w:rsidTr="00AD6A3B">
        <w:tc>
          <w:tcPr>
            <w:tcW w:w="2438" w:type="dxa"/>
            <w:tcBorders>
              <w:top w:val="nil"/>
              <w:left w:val="single" w:sz="8" w:space="0" w:color="000000"/>
              <w:bottom w:val="nil"/>
              <w:right w:val="nil"/>
            </w:tcBorders>
            <w:shd w:val="clear" w:color="auto" w:fill="auto"/>
          </w:tcPr>
          <w:p w14:paraId="182F440C" w14:textId="4DF49088" w:rsidR="0030208D" w:rsidRPr="00975B07" w:rsidRDefault="0030208D" w:rsidP="002D2AEF">
            <w:r w:rsidRPr="00975B07">
              <w:t xml:space="preserve">Appendix </w:t>
            </w:r>
            <w:r w:rsidR="00D952C3">
              <w:t>1</w:t>
            </w:r>
          </w:p>
        </w:tc>
        <w:tc>
          <w:tcPr>
            <w:tcW w:w="6406" w:type="dxa"/>
            <w:tcBorders>
              <w:top w:val="nil"/>
              <w:left w:val="nil"/>
              <w:bottom w:val="nil"/>
              <w:right w:val="single" w:sz="8" w:space="0" w:color="000000"/>
            </w:tcBorders>
          </w:tcPr>
          <w:p w14:paraId="685238EE" w14:textId="77777777" w:rsidR="0030208D" w:rsidRPr="001356F1" w:rsidRDefault="00E4428C" w:rsidP="004A6D2F">
            <w:r w:rsidRPr="00726111">
              <w:t>Risk Register</w:t>
            </w:r>
          </w:p>
        </w:tc>
      </w:tr>
      <w:tr w:rsidR="00AD6A3B" w:rsidRPr="00975B07" w14:paraId="16C4EF81" w14:textId="77777777" w:rsidTr="00A46E98">
        <w:tc>
          <w:tcPr>
            <w:tcW w:w="2438" w:type="dxa"/>
            <w:tcBorders>
              <w:top w:val="nil"/>
              <w:left w:val="single" w:sz="8" w:space="0" w:color="000000"/>
              <w:bottom w:val="single" w:sz="8" w:space="0" w:color="000000"/>
              <w:right w:val="nil"/>
            </w:tcBorders>
            <w:shd w:val="clear" w:color="auto" w:fill="auto"/>
          </w:tcPr>
          <w:p w14:paraId="14025E77" w14:textId="3A598613" w:rsidR="00AD6A3B" w:rsidRPr="00975B07" w:rsidRDefault="00AD6A3B" w:rsidP="002D2AEF">
            <w:r>
              <w:t xml:space="preserve">Appendix </w:t>
            </w:r>
            <w:r w:rsidR="00D952C3">
              <w:t>2</w:t>
            </w:r>
          </w:p>
        </w:tc>
        <w:tc>
          <w:tcPr>
            <w:tcW w:w="6406" w:type="dxa"/>
            <w:tcBorders>
              <w:top w:val="nil"/>
              <w:left w:val="nil"/>
              <w:bottom w:val="single" w:sz="8" w:space="0" w:color="000000"/>
              <w:right w:val="single" w:sz="8" w:space="0" w:color="000000"/>
            </w:tcBorders>
          </w:tcPr>
          <w:p w14:paraId="39EEBC92" w14:textId="7311FAE7" w:rsidR="00AD6A3B" w:rsidRDefault="00AD6A3B" w:rsidP="007B44DC">
            <w:r w:rsidRPr="00726111">
              <w:rPr>
                <w:color w:val="auto"/>
              </w:rPr>
              <w:t>Equalities Impact Assessment</w:t>
            </w:r>
            <w:r w:rsidR="007B44DC" w:rsidRPr="0028559E">
              <w:rPr>
                <w:color w:val="auto"/>
              </w:rPr>
              <w:t xml:space="preserve"> </w:t>
            </w:r>
          </w:p>
        </w:tc>
      </w:tr>
    </w:tbl>
    <w:p w14:paraId="65E4F5CB" w14:textId="77777777" w:rsidR="002F0C8F" w:rsidRDefault="002F0C8F" w:rsidP="002F0C8F">
      <w:pPr>
        <w:jc w:val="both"/>
      </w:pPr>
    </w:p>
    <w:p w14:paraId="1BB651E7" w14:textId="77777777" w:rsidR="002F0C8F" w:rsidRPr="002F0C8F" w:rsidRDefault="00F66DCA" w:rsidP="002F0C8F">
      <w:pPr>
        <w:jc w:val="both"/>
        <w:rPr>
          <w:b/>
        </w:rPr>
      </w:pPr>
      <w:r w:rsidRPr="002F0C8F">
        <w:rPr>
          <w:b/>
        </w:rPr>
        <w:t>Introduction and b</w:t>
      </w:r>
      <w:r w:rsidR="00151888" w:rsidRPr="002F0C8F">
        <w:rPr>
          <w:b/>
        </w:rPr>
        <w:t>ackground</w:t>
      </w:r>
      <w:r w:rsidR="00404032" w:rsidRPr="002F0C8F">
        <w:rPr>
          <w:b/>
        </w:rPr>
        <w:t xml:space="preserve"> </w:t>
      </w:r>
    </w:p>
    <w:p w14:paraId="4D812C23" w14:textId="77777777" w:rsidR="002F0C8F" w:rsidRPr="002F0C8F" w:rsidRDefault="002F0C8F" w:rsidP="002F0C8F">
      <w:pPr>
        <w:jc w:val="both"/>
        <w:rPr>
          <w:color w:val="auto"/>
        </w:rPr>
      </w:pPr>
    </w:p>
    <w:p w14:paraId="6F4F72E3" w14:textId="4DCCF319" w:rsidR="009D7CEB" w:rsidRDefault="009D7CEB" w:rsidP="009D7CEB">
      <w:pPr>
        <w:pStyle w:val="ListParagraph"/>
        <w:ind w:right="226"/>
        <w:jc w:val="both"/>
      </w:pPr>
      <w:r>
        <w:t xml:space="preserve">Oxford City Council has been allocated £1.875m to deliver a county-wide scheme to tackle the predicted significant increase in vacant units in Oxford (the city and its other </w:t>
      </w:r>
      <w:r w:rsidR="00115793">
        <w:t xml:space="preserve">neighbourhood </w:t>
      </w:r>
      <w:r>
        <w:t xml:space="preserve">centres) and Oxfordshire’s market towns. </w:t>
      </w:r>
    </w:p>
    <w:p w14:paraId="72C4FF84" w14:textId="2045EAC3" w:rsidR="009D7CEB" w:rsidRPr="00054F68" w:rsidRDefault="00B811F9" w:rsidP="00054F68">
      <w:pPr>
        <w:pStyle w:val="ListParagraph"/>
      </w:pPr>
      <w:r w:rsidRPr="00054F68">
        <w:t xml:space="preserve">The </w:t>
      </w:r>
      <w:r w:rsidR="009D7CEB" w:rsidRPr="00054F68">
        <w:t>‘</w:t>
      </w:r>
      <w:r w:rsidR="00BD551D" w:rsidRPr="00054F68">
        <w:t>Meanwhile in Oxfordshire…’</w:t>
      </w:r>
      <w:r w:rsidR="009D7CEB" w:rsidRPr="00054F68">
        <w:t xml:space="preserve"> project</w:t>
      </w:r>
      <w:r w:rsidR="00BD551D" w:rsidRPr="00054F68">
        <w:t xml:space="preserve"> is to be funded through the </w:t>
      </w:r>
      <w:r w:rsidR="00BC4C28" w:rsidRPr="00054F68">
        <w:t>“</w:t>
      </w:r>
      <w:r w:rsidR="00BD551D" w:rsidRPr="00054F68">
        <w:t>Getting Building Fund</w:t>
      </w:r>
      <w:r w:rsidR="00BC4C28" w:rsidRPr="00054F68">
        <w:t>”</w:t>
      </w:r>
      <w:r w:rsidR="00BD551D" w:rsidRPr="00054F68">
        <w:t xml:space="preserve"> as part of a </w:t>
      </w:r>
      <w:r w:rsidR="009D7CEB" w:rsidRPr="00054F68">
        <w:t>County-</w:t>
      </w:r>
      <w:r w:rsidR="00BD551D" w:rsidRPr="00054F68">
        <w:t xml:space="preserve">wide £8.4m </w:t>
      </w:r>
      <w:r w:rsidR="009D7CEB" w:rsidRPr="00054F68">
        <w:t>programme</w:t>
      </w:r>
      <w:r w:rsidR="002F0C8F" w:rsidRPr="00054F68">
        <w:t xml:space="preserve">, managed by </w:t>
      </w:r>
      <w:r w:rsidR="00BD551D" w:rsidRPr="00054F68">
        <w:t>OxLEP to accelerate the UK’s economic revival</w:t>
      </w:r>
      <w:r w:rsidR="009D7CEB" w:rsidRPr="00054F68">
        <w:t xml:space="preserve"> through the delivery of capital projects </w:t>
      </w:r>
      <w:r w:rsidR="002F0C8F" w:rsidRPr="00054F68">
        <w:t>by early 2022</w:t>
      </w:r>
      <w:r w:rsidR="009D7CEB" w:rsidRPr="00054F68">
        <w:t xml:space="preserve">. </w:t>
      </w:r>
    </w:p>
    <w:p w14:paraId="691F25F2" w14:textId="016DFDF8" w:rsidR="00F14EC1" w:rsidRDefault="00F47F2A" w:rsidP="002F0C8F">
      <w:pPr>
        <w:pStyle w:val="ListParagraph"/>
      </w:pPr>
      <w:r>
        <w:t xml:space="preserve">The COVID-19 </w:t>
      </w:r>
      <w:r w:rsidR="009D7CEB">
        <w:t xml:space="preserve">pandemic </w:t>
      </w:r>
      <w:r>
        <w:t>has created significant uncertainty in the property market</w:t>
      </w:r>
      <w:r w:rsidR="00877B37">
        <w:t>.</w:t>
      </w:r>
      <w:r>
        <w:t xml:space="preserve"> </w:t>
      </w:r>
      <w:r w:rsidR="00877B37">
        <w:t>V</w:t>
      </w:r>
      <w:r>
        <w:t>acant unit numbers increasing</w:t>
      </w:r>
      <w:r w:rsidR="00877B37">
        <w:t>,</w:t>
      </w:r>
      <w:r>
        <w:t xml:space="preserve"> </w:t>
      </w:r>
      <w:r w:rsidR="00877B37">
        <w:t>with</w:t>
      </w:r>
      <w:r>
        <w:t xml:space="preserve"> more predicted to come onto the market if COVID-19 restrictions continue</w:t>
      </w:r>
      <w:r w:rsidR="00CA47B5">
        <w:t xml:space="preserve">. The </w:t>
      </w:r>
      <w:r w:rsidR="00E224B4">
        <w:t>‘</w:t>
      </w:r>
      <w:r w:rsidR="00CA47B5">
        <w:t>Meanwhile in Oxfordshire</w:t>
      </w:r>
      <w:r w:rsidR="009D7CEB">
        <w:t>…’</w:t>
      </w:r>
      <w:r w:rsidR="00CA47B5">
        <w:t xml:space="preserve"> </w:t>
      </w:r>
      <w:r w:rsidR="009D7CEB">
        <w:t xml:space="preserve">project is targeted to </w:t>
      </w:r>
      <w:r w:rsidR="00CA47B5">
        <w:t xml:space="preserve">help </w:t>
      </w:r>
      <w:r w:rsidR="00E224B4">
        <w:t xml:space="preserve">tackle the </w:t>
      </w:r>
      <w:r w:rsidR="00877B37">
        <w:t xml:space="preserve">anticipated rising </w:t>
      </w:r>
      <w:r w:rsidR="00E224B4">
        <w:t xml:space="preserve">number of vacant commercial units, </w:t>
      </w:r>
      <w:r w:rsidR="008B3EB8">
        <w:t xml:space="preserve">to diversify the </w:t>
      </w:r>
      <w:r w:rsidR="00877B37">
        <w:t>“</w:t>
      </w:r>
      <w:r w:rsidR="008B3EB8">
        <w:t>mix and offer</w:t>
      </w:r>
      <w:r w:rsidR="00877B37">
        <w:t>”</w:t>
      </w:r>
      <w:r w:rsidR="008B3EB8">
        <w:t xml:space="preserve"> </w:t>
      </w:r>
      <w:r w:rsidR="009762CC">
        <w:t>of businesses</w:t>
      </w:r>
      <w:r w:rsidR="00877B37">
        <w:t>.</w:t>
      </w:r>
      <w:r w:rsidR="009762CC">
        <w:t xml:space="preserve"> </w:t>
      </w:r>
      <w:r w:rsidR="00877B37">
        <w:t>This should also lead to an</w:t>
      </w:r>
      <w:r w:rsidR="009762CC">
        <w:t xml:space="preserve"> increase </w:t>
      </w:r>
      <w:r w:rsidR="00877B37">
        <w:t xml:space="preserve">in </w:t>
      </w:r>
      <w:r w:rsidR="009762CC">
        <w:t xml:space="preserve">footfall and employment opportunities to aid </w:t>
      </w:r>
      <w:r w:rsidR="008B3EB8">
        <w:t>high street recovery</w:t>
      </w:r>
      <w:r w:rsidR="001853BB">
        <w:t>.</w:t>
      </w:r>
    </w:p>
    <w:p w14:paraId="549025B0" w14:textId="554F22F2" w:rsidR="00F6011A" w:rsidRDefault="00F6011A" w:rsidP="00F6011A">
      <w:pPr>
        <w:pStyle w:val="ListParagraph"/>
        <w:ind w:right="226"/>
        <w:jc w:val="both"/>
      </w:pPr>
      <w:r>
        <w:t xml:space="preserve">While the proposal is a county-wide scheme, Oxford City Council has taken the lead on developing the project, working closely with OxLEP and the other district councils. As such, the City Council is well placed and appropriate to act as the </w:t>
      </w:r>
      <w:r w:rsidR="00916F94">
        <w:t>Contracting Authority</w:t>
      </w:r>
      <w:r>
        <w:t xml:space="preserve"> to contract with OxLEP. </w:t>
      </w:r>
      <w:r w:rsidR="00F47F2A">
        <w:t>This will include</w:t>
      </w:r>
      <w:r w:rsidR="001853BB">
        <w:t xml:space="preserve"> the</w:t>
      </w:r>
      <w:r w:rsidR="00F47F2A">
        <w:t xml:space="preserve"> internal project management</w:t>
      </w:r>
      <w:r w:rsidR="001853BB">
        <w:t>.</w:t>
      </w:r>
    </w:p>
    <w:p w14:paraId="374CFB3B" w14:textId="77777777" w:rsidR="00F6011A" w:rsidRDefault="00F6011A" w:rsidP="00E66EF3">
      <w:pPr>
        <w:pStyle w:val="ListParagraph"/>
        <w:numPr>
          <w:ilvl w:val="0"/>
          <w:numId w:val="0"/>
        </w:numPr>
        <w:ind w:left="426" w:right="226"/>
        <w:jc w:val="both"/>
      </w:pPr>
    </w:p>
    <w:p w14:paraId="4DA902A6" w14:textId="18CA0BB4" w:rsidR="00E87F7A" w:rsidRPr="00E66EF3" w:rsidRDefault="00A14523" w:rsidP="00E66EF3">
      <w:pPr>
        <w:ind w:right="226"/>
        <w:jc w:val="both"/>
        <w:rPr>
          <w:b/>
        </w:rPr>
      </w:pPr>
      <w:r w:rsidRPr="00E66EF3">
        <w:rPr>
          <w:b/>
        </w:rPr>
        <w:t>The project</w:t>
      </w:r>
    </w:p>
    <w:p w14:paraId="09AFAAE7" w14:textId="0C460852" w:rsidR="00F14EC1" w:rsidRDefault="00274FB3" w:rsidP="00CA47B5">
      <w:pPr>
        <w:pStyle w:val="ListParagraph"/>
      </w:pPr>
      <w:r>
        <w:t xml:space="preserve">This </w:t>
      </w:r>
      <w:r w:rsidR="00916F94" w:rsidRPr="00054F68">
        <w:t xml:space="preserve">‘Meanwhile in Oxfordshire…’ </w:t>
      </w:r>
      <w:r w:rsidR="00F14EC1">
        <w:t xml:space="preserve">project </w:t>
      </w:r>
      <w:r w:rsidR="00F6011A">
        <w:t xml:space="preserve">will </w:t>
      </w:r>
      <w:r>
        <w:t>fund low cost refurbishment work</w:t>
      </w:r>
      <w:r w:rsidR="00F14EC1">
        <w:t xml:space="preserve">, </w:t>
      </w:r>
      <w:r w:rsidR="00D70609">
        <w:t xml:space="preserve">for around 100 </w:t>
      </w:r>
      <w:r>
        <w:t xml:space="preserve">vacant units </w:t>
      </w:r>
      <w:r w:rsidR="00F14EC1">
        <w:t xml:space="preserve">across the County </w:t>
      </w:r>
      <w:r>
        <w:t>into a useable state</w:t>
      </w:r>
      <w:r w:rsidR="00F14EC1">
        <w:t>, to allow for the activation of vacant or underused space and the wider animation of the hi</w:t>
      </w:r>
      <w:r w:rsidR="00F6011A">
        <w:t>gh street and economic centres</w:t>
      </w:r>
      <w:r w:rsidR="00F14EC1">
        <w:t>.</w:t>
      </w:r>
    </w:p>
    <w:p w14:paraId="7365BA3D" w14:textId="649EBE86" w:rsidR="00F47F2A" w:rsidRDefault="00F47F2A" w:rsidP="00726111">
      <w:pPr>
        <w:pStyle w:val="ListParagraph"/>
        <w:ind w:right="226"/>
        <w:jc w:val="both"/>
      </w:pPr>
      <w:r>
        <w:t xml:space="preserve">Further work is underway to refine the cost per unit and likely number of vacant units, or spaces that will be supported. This will be confirmed in the contract between the City Council and OxLEP. </w:t>
      </w:r>
    </w:p>
    <w:p w14:paraId="121D301C" w14:textId="0EE0FAA3" w:rsidR="00904210" w:rsidRPr="00BC2D5F" w:rsidRDefault="00F6011A" w:rsidP="00F6011A">
      <w:pPr>
        <w:pStyle w:val="ListParagraph"/>
        <w:ind w:right="226"/>
        <w:jc w:val="both"/>
      </w:pPr>
      <w:r>
        <w:t>The proposal is for the City Council to procure a specialist operator</w:t>
      </w:r>
      <w:r w:rsidR="00F47F2A">
        <w:t xml:space="preserve"> to deliver the project. The operator</w:t>
      </w:r>
      <w:r>
        <w:t xml:space="preserve"> would work closely with the City and district councils and be responsible for:</w:t>
      </w:r>
    </w:p>
    <w:p w14:paraId="0A30454F" w14:textId="0B93B83F" w:rsidR="00274FB3" w:rsidRPr="00726111"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t>Identify</w:t>
      </w:r>
      <w:r w:rsidR="00F6011A">
        <w:rPr>
          <w:rFonts w:eastAsia="Calibri" w:cs="Arial"/>
          <w:color w:val="auto"/>
          <w:lang w:eastAsia="en-US"/>
        </w:rPr>
        <w:t>ing</w:t>
      </w:r>
      <w:r w:rsidRPr="00726111">
        <w:rPr>
          <w:rFonts w:eastAsia="Calibri" w:cs="Arial"/>
          <w:color w:val="auto"/>
          <w:lang w:eastAsia="en-US"/>
        </w:rPr>
        <w:t xml:space="preserve"> suitable vacant properties and work with landlords to secure them for meanwhile uses</w:t>
      </w:r>
      <w:r w:rsidR="00EA4954">
        <w:rPr>
          <w:rFonts w:eastAsia="Calibri" w:cs="Arial"/>
          <w:color w:val="auto"/>
          <w:lang w:eastAsia="en-US"/>
        </w:rPr>
        <w:t>.</w:t>
      </w:r>
    </w:p>
    <w:p w14:paraId="78DF9015" w14:textId="52080D0C" w:rsidR="00274FB3" w:rsidRPr="00726111"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t>Identify</w:t>
      </w:r>
      <w:r w:rsidR="00F6011A">
        <w:rPr>
          <w:rFonts w:eastAsia="Calibri" w:cs="Arial"/>
          <w:color w:val="auto"/>
          <w:lang w:eastAsia="en-US"/>
        </w:rPr>
        <w:t>ing</w:t>
      </w:r>
      <w:r w:rsidRPr="00726111">
        <w:rPr>
          <w:rFonts w:eastAsia="Calibri" w:cs="Arial"/>
          <w:color w:val="auto"/>
          <w:lang w:eastAsia="en-US"/>
        </w:rPr>
        <w:t xml:space="preserve"> suitable occupiers against locally agreed criteria, but to include start-up, expanding and diversifying businesses, arts, cultural and creative organisations, community groups and social enterprises. </w:t>
      </w:r>
    </w:p>
    <w:p w14:paraId="33A77229" w14:textId="05BF5699" w:rsidR="00274FB3" w:rsidRDefault="00F6011A" w:rsidP="00726111">
      <w:pPr>
        <w:pStyle w:val="ListParagraph"/>
        <w:numPr>
          <w:ilvl w:val="0"/>
          <w:numId w:val="38"/>
        </w:numPr>
        <w:spacing w:after="0"/>
        <w:rPr>
          <w:rFonts w:eastAsia="Calibri" w:cs="Arial"/>
          <w:color w:val="auto"/>
          <w:lang w:eastAsia="en-US"/>
        </w:rPr>
      </w:pPr>
      <w:r>
        <w:rPr>
          <w:rFonts w:eastAsia="Calibri" w:cs="Arial"/>
          <w:color w:val="auto"/>
          <w:lang w:eastAsia="en-US"/>
        </w:rPr>
        <w:t>Entering into</w:t>
      </w:r>
      <w:r w:rsidRPr="00726111">
        <w:rPr>
          <w:rFonts w:eastAsia="Calibri" w:cs="Arial"/>
          <w:color w:val="auto"/>
          <w:lang w:eastAsia="en-US"/>
        </w:rPr>
        <w:t xml:space="preserve"> </w:t>
      </w:r>
      <w:r w:rsidR="00274FB3" w:rsidRPr="00726111">
        <w:rPr>
          <w:rFonts w:eastAsia="Calibri" w:cs="Arial"/>
          <w:color w:val="auto"/>
          <w:lang w:eastAsia="en-US"/>
        </w:rPr>
        <w:t>meanwhile lease</w:t>
      </w:r>
      <w:r>
        <w:rPr>
          <w:rFonts w:eastAsia="Calibri" w:cs="Arial"/>
          <w:color w:val="auto"/>
          <w:lang w:eastAsia="en-US"/>
        </w:rPr>
        <w:t>s</w:t>
      </w:r>
      <w:r w:rsidR="00274FB3" w:rsidRPr="00726111">
        <w:rPr>
          <w:rFonts w:eastAsia="Calibri" w:cs="Arial"/>
          <w:color w:val="auto"/>
          <w:lang w:eastAsia="en-US"/>
        </w:rPr>
        <w:t xml:space="preserve"> with landlord</w:t>
      </w:r>
      <w:r>
        <w:rPr>
          <w:rFonts w:eastAsia="Calibri" w:cs="Arial"/>
          <w:color w:val="auto"/>
          <w:lang w:eastAsia="en-US"/>
        </w:rPr>
        <w:t>s</w:t>
      </w:r>
      <w:r w:rsidR="00274FB3" w:rsidRPr="00726111">
        <w:rPr>
          <w:rFonts w:eastAsia="Calibri" w:cs="Arial"/>
          <w:color w:val="auto"/>
          <w:lang w:eastAsia="en-US"/>
        </w:rPr>
        <w:t xml:space="preserve"> and enter into lease/licenses with occupiers</w:t>
      </w:r>
      <w:r w:rsidR="00EA4954">
        <w:rPr>
          <w:rFonts w:eastAsia="Calibri" w:cs="Arial"/>
          <w:color w:val="auto"/>
          <w:lang w:eastAsia="en-US"/>
        </w:rPr>
        <w:t>.</w:t>
      </w:r>
    </w:p>
    <w:p w14:paraId="77EDCB77" w14:textId="5DCF98A1" w:rsidR="00F47F2A" w:rsidRPr="00726111" w:rsidRDefault="00F47F2A" w:rsidP="00726111">
      <w:pPr>
        <w:pStyle w:val="ListParagraph"/>
        <w:numPr>
          <w:ilvl w:val="0"/>
          <w:numId w:val="38"/>
        </w:numPr>
        <w:spacing w:after="0"/>
        <w:rPr>
          <w:rFonts w:eastAsia="Calibri" w:cs="Arial"/>
          <w:color w:val="auto"/>
          <w:lang w:eastAsia="en-US"/>
        </w:rPr>
      </w:pPr>
      <w:r>
        <w:rPr>
          <w:rFonts w:eastAsia="Calibri" w:cs="Arial"/>
          <w:color w:val="auto"/>
          <w:lang w:eastAsia="en-US"/>
        </w:rPr>
        <w:t>Agreeing affordable rent levels with the City and district councils to cover the costs of the operator during the project and as part of the future business model once capital funding has ceased.</w:t>
      </w:r>
    </w:p>
    <w:p w14:paraId="31F0CFF0" w14:textId="048545BA" w:rsidR="00F6011A" w:rsidRDefault="00274FB3" w:rsidP="00726111">
      <w:pPr>
        <w:pStyle w:val="ListParagraph"/>
        <w:numPr>
          <w:ilvl w:val="0"/>
          <w:numId w:val="38"/>
        </w:numPr>
        <w:spacing w:after="0"/>
        <w:rPr>
          <w:rFonts w:eastAsia="Calibri" w:cs="Arial"/>
          <w:color w:val="auto"/>
          <w:lang w:eastAsia="en-US"/>
        </w:rPr>
      </w:pPr>
      <w:r w:rsidRPr="00726111">
        <w:rPr>
          <w:rFonts w:eastAsia="Calibri" w:cs="Arial"/>
          <w:color w:val="auto"/>
          <w:lang w:eastAsia="en-US"/>
        </w:rPr>
        <w:t>Commission</w:t>
      </w:r>
      <w:r w:rsidR="00F6011A">
        <w:rPr>
          <w:rFonts w:eastAsia="Calibri" w:cs="Arial"/>
          <w:color w:val="auto"/>
          <w:lang w:eastAsia="en-US"/>
        </w:rPr>
        <w:t>ing and overseeing</w:t>
      </w:r>
      <w:r w:rsidRPr="00726111">
        <w:rPr>
          <w:rFonts w:eastAsia="Calibri" w:cs="Arial"/>
          <w:color w:val="auto"/>
          <w:lang w:eastAsia="en-US"/>
        </w:rPr>
        <w:t xml:space="preserve"> light touch fit out work to make </w:t>
      </w:r>
      <w:r w:rsidR="00396D00">
        <w:rPr>
          <w:rFonts w:eastAsia="Calibri" w:cs="Arial"/>
          <w:color w:val="auto"/>
          <w:lang w:eastAsia="en-US"/>
        </w:rPr>
        <w:t xml:space="preserve">the </w:t>
      </w:r>
      <w:r w:rsidRPr="00726111">
        <w:rPr>
          <w:rFonts w:eastAsia="Calibri" w:cs="Arial"/>
          <w:color w:val="auto"/>
          <w:lang w:eastAsia="en-US"/>
        </w:rPr>
        <w:t xml:space="preserve">building safe and allow occupation for the meanwhile activity and ensure </w:t>
      </w:r>
      <w:r w:rsidR="00396D00">
        <w:rPr>
          <w:rFonts w:eastAsia="Calibri" w:cs="Arial"/>
          <w:color w:val="auto"/>
          <w:lang w:eastAsia="en-US"/>
        </w:rPr>
        <w:t xml:space="preserve">the </w:t>
      </w:r>
      <w:r w:rsidRPr="00726111">
        <w:rPr>
          <w:rFonts w:eastAsia="Calibri" w:cs="Arial"/>
          <w:color w:val="auto"/>
          <w:lang w:eastAsia="en-US"/>
        </w:rPr>
        <w:t xml:space="preserve">premises is handed back to </w:t>
      </w:r>
      <w:r w:rsidR="00396D00">
        <w:rPr>
          <w:rFonts w:eastAsia="Calibri" w:cs="Arial"/>
          <w:color w:val="auto"/>
          <w:lang w:eastAsia="en-US"/>
        </w:rPr>
        <w:t xml:space="preserve">its </w:t>
      </w:r>
      <w:r w:rsidRPr="00726111">
        <w:rPr>
          <w:rFonts w:eastAsia="Calibri" w:cs="Arial"/>
          <w:color w:val="auto"/>
          <w:lang w:eastAsia="en-US"/>
        </w:rPr>
        <w:t>landlord i</w:t>
      </w:r>
      <w:r w:rsidR="00396D00">
        <w:rPr>
          <w:rFonts w:eastAsia="Calibri" w:cs="Arial"/>
          <w:color w:val="auto"/>
          <w:lang w:eastAsia="en-US"/>
        </w:rPr>
        <w:t>n</w:t>
      </w:r>
      <w:r w:rsidRPr="00726111">
        <w:rPr>
          <w:rFonts w:eastAsia="Calibri" w:cs="Arial"/>
          <w:color w:val="auto"/>
          <w:lang w:eastAsia="en-US"/>
        </w:rPr>
        <w:t xml:space="preserve"> </w:t>
      </w:r>
      <w:r w:rsidR="00EA4954">
        <w:rPr>
          <w:rFonts w:eastAsia="Calibri" w:cs="Arial"/>
          <w:color w:val="auto"/>
          <w:lang w:eastAsia="en-US"/>
        </w:rPr>
        <w:t xml:space="preserve">an </w:t>
      </w:r>
      <w:r w:rsidRPr="00726111">
        <w:rPr>
          <w:rFonts w:eastAsia="Calibri" w:cs="Arial"/>
          <w:color w:val="auto"/>
          <w:lang w:eastAsia="en-US"/>
        </w:rPr>
        <w:t>agreed condition.</w:t>
      </w:r>
    </w:p>
    <w:p w14:paraId="586E37CF" w14:textId="77777777" w:rsidR="00726111" w:rsidRPr="00CA47B5" w:rsidRDefault="00726111" w:rsidP="00CA47B5">
      <w:pPr>
        <w:spacing w:after="0"/>
        <w:rPr>
          <w:rFonts w:eastAsia="Calibri" w:cs="Arial"/>
          <w:color w:val="auto"/>
          <w:lang w:eastAsia="en-US"/>
        </w:rPr>
      </w:pPr>
    </w:p>
    <w:p w14:paraId="541CBD8C" w14:textId="1D3414F0" w:rsidR="00BC2D5F" w:rsidRDefault="00F47F2A" w:rsidP="00CA47B5">
      <w:pPr>
        <w:pStyle w:val="ListParagraph"/>
      </w:pPr>
      <w:r>
        <w:t xml:space="preserve">The City Council and its district partners are already aware of a number of key opportunities that could be supported by this project, as well as potential </w:t>
      </w:r>
      <w:r w:rsidR="005C0019">
        <w:t>tenants</w:t>
      </w:r>
      <w:r>
        <w:t>. T</w:t>
      </w:r>
      <w:r w:rsidR="006B1E6B">
        <w:t xml:space="preserve">he </w:t>
      </w:r>
      <w:r>
        <w:t xml:space="preserve">initial </w:t>
      </w:r>
      <w:r w:rsidR="006B1E6B">
        <w:t xml:space="preserve">stage of the </w:t>
      </w:r>
      <w:r>
        <w:t>‘</w:t>
      </w:r>
      <w:r w:rsidR="00BC2D5F">
        <w:t>Meanwhile in Oxfordshire…</w:t>
      </w:r>
      <w:r>
        <w:t>’</w:t>
      </w:r>
      <w:r w:rsidR="00BC2D5F">
        <w:t xml:space="preserve"> </w:t>
      </w:r>
      <w:r>
        <w:t xml:space="preserve">project </w:t>
      </w:r>
      <w:r w:rsidR="00B104F6">
        <w:t xml:space="preserve">will </w:t>
      </w:r>
      <w:r>
        <w:t>be for the operator</w:t>
      </w:r>
      <w:r w:rsidR="007C1CB2">
        <w:t xml:space="preserve"> to</w:t>
      </w:r>
      <w:r>
        <w:t xml:space="preserve"> </w:t>
      </w:r>
      <w:r w:rsidR="00B104F6">
        <w:t>review, update and add to</w:t>
      </w:r>
      <w:r w:rsidR="00BC2D5F">
        <w:t xml:space="preserve"> </w:t>
      </w:r>
      <w:r>
        <w:t xml:space="preserve">these known opportunities and potential tenants, working </w:t>
      </w:r>
      <w:r w:rsidR="00BC2D5F">
        <w:t xml:space="preserve">in partnership with the </w:t>
      </w:r>
      <w:r w:rsidR="00B104F6">
        <w:t xml:space="preserve">city and </w:t>
      </w:r>
      <w:r w:rsidR="00C10988">
        <w:t>districts once</w:t>
      </w:r>
      <w:r w:rsidR="00BC2D5F">
        <w:t xml:space="preserve"> engaged</w:t>
      </w:r>
      <w:r w:rsidR="00B104F6">
        <w:t>.</w:t>
      </w:r>
      <w:r w:rsidR="00BC2D5F">
        <w:t xml:space="preserve"> </w:t>
      </w:r>
    </w:p>
    <w:p w14:paraId="3E2E36C4" w14:textId="4660F012" w:rsidR="00F47F2A" w:rsidRDefault="00FA6FD0" w:rsidP="00E66EF3">
      <w:pPr>
        <w:pStyle w:val="ListParagraph"/>
        <w:ind w:left="426" w:right="226" w:hanging="426"/>
        <w:jc w:val="both"/>
      </w:pPr>
      <w:r>
        <w:t xml:space="preserve">OxLEP </w:t>
      </w:r>
      <w:r w:rsidR="001B08EB" w:rsidRPr="001B08EB">
        <w:t xml:space="preserve">grant </w:t>
      </w:r>
      <w:r>
        <w:t xml:space="preserve">will </w:t>
      </w:r>
      <w:r w:rsidR="00494595">
        <w:t>be spent</w:t>
      </w:r>
      <w:r w:rsidR="001B08EB" w:rsidRPr="001B08EB">
        <w:t xml:space="preserve"> in 2020-</w:t>
      </w:r>
      <w:r w:rsidR="001F2466">
        <w:t>2</w:t>
      </w:r>
      <w:r w:rsidR="001B08EB" w:rsidRPr="001B08EB">
        <w:t>1</w:t>
      </w:r>
      <w:r w:rsidR="00DF54DF">
        <w:t xml:space="preserve">. </w:t>
      </w:r>
      <w:r w:rsidR="00F47F2A">
        <w:t xml:space="preserve">It is hoped that the operator will be able to continue beyond this period, by developing a sustainable business model based on charging an affordable rent to some or all of their tenants. </w:t>
      </w:r>
    </w:p>
    <w:p w14:paraId="6B6F109D" w14:textId="2E5DA001" w:rsidR="009D7B46" w:rsidRPr="009D7B46" w:rsidRDefault="00DF54DF" w:rsidP="00E66EF3">
      <w:pPr>
        <w:pStyle w:val="ListParagraph"/>
        <w:ind w:right="226"/>
        <w:jc w:val="both"/>
      </w:pPr>
      <w:r>
        <w:t xml:space="preserve">The OxLEP funding </w:t>
      </w:r>
      <w:r w:rsidR="00292FF4">
        <w:t xml:space="preserve">proposal </w:t>
      </w:r>
      <w:r>
        <w:t>identif</w:t>
      </w:r>
      <w:r w:rsidR="00292FF4">
        <w:t>ies</w:t>
      </w:r>
      <w:r>
        <w:t xml:space="preserve"> key objectives to be met by the projec</w:t>
      </w:r>
      <w:r w:rsidR="00292FF4">
        <w:t>ts</w:t>
      </w:r>
      <w:r>
        <w:t xml:space="preserve"> including</w:t>
      </w:r>
      <w:r w:rsidR="00292FF4">
        <w:t>;</w:t>
      </w:r>
      <w:r>
        <w:t xml:space="preserve"> promoting economic growth in Oxford</w:t>
      </w:r>
      <w:r w:rsidR="00D77A31">
        <w:t>shire</w:t>
      </w:r>
      <w:r>
        <w:t xml:space="preserve"> by providing much needed premises for new and small businesses to operate, </w:t>
      </w:r>
      <w:r w:rsidR="00292FF4">
        <w:t>working</w:t>
      </w:r>
      <w:r>
        <w:t xml:space="preserve"> with partners to support start-ups and to provide space for small businesses in key sectors important to Oxford</w:t>
      </w:r>
      <w:r w:rsidR="00D77A31">
        <w:t>shire’s</w:t>
      </w:r>
      <w:r>
        <w:t xml:space="preserve"> economy including</w:t>
      </w:r>
      <w:r w:rsidR="0024195D">
        <w:t>:</w:t>
      </w:r>
      <w:r>
        <w:t xml:space="preserve"> the </w:t>
      </w:r>
      <w:r w:rsidR="0078075E">
        <w:t>creative sectors, social enterprises and wider knowledge based businesses</w:t>
      </w:r>
      <w:r w:rsidR="0078075E" w:rsidRPr="009D7B46">
        <w:t>.</w:t>
      </w:r>
      <w:r w:rsidR="009D7B46" w:rsidRPr="009D7B46">
        <w:t xml:space="preserve"> By providing affordable meanwhile space to businesses the </w:t>
      </w:r>
      <w:r w:rsidR="00347F91">
        <w:t xml:space="preserve">project </w:t>
      </w:r>
      <w:r w:rsidR="009D7B46" w:rsidRPr="009D7B46">
        <w:t>will provide:</w:t>
      </w:r>
    </w:p>
    <w:p w14:paraId="1EDD4A21" w14:textId="53EE1F9E" w:rsidR="009D7B46" w:rsidRPr="009D7B46" w:rsidRDefault="009D7B46" w:rsidP="009D7B46">
      <w:pPr>
        <w:numPr>
          <w:ilvl w:val="0"/>
          <w:numId w:val="35"/>
        </w:numPr>
        <w:spacing w:after="0"/>
        <w:contextualSpacing/>
      </w:pPr>
      <w:r w:rsidRPr="009D7B46">
        <w:t>Employment opportunities; directly and indirectly resulting from the Pr</w:t>
      </w:r>
      <w:r w:rsidR="00347F91">
        <w:t>oject</w:t>
      </w:r>
      <w:r w:rsidRPr="009D7B46">
        <w:t xml:space="preserve"> </w:t>
      </w:r>
    </w:p>
    <w:p w14:paraId="2A718777" w14:textId="77777777" w:rsidR="009D7B46" w:rsidRPr="009D7B46" w:rsidRDefault="009D7B46" w:rsidP="009D7B46">
      <w:pPr>
        <w:numPr>
          <w:ilvl w:val="0"/>
          <w:numId w:val="35"/>
        </w:numPr>
        <w:spacing w:after="0"/>
        <w:contextualSpacing/>
      </w:pPr>
      <w:r w:rsidRPr="009D7B46">
        <w:t xml:space="preserve">Enterprise Incubation Support, offered by the Meanwhile Operator </w:t>
      </w:r>
    </w:p>
    <w:p w14:paraId="6066B1E7" w14:textId="77777777" w:rsidR="009D7B46" w:rsidRPr="009D7B46" w:rsidRDefault="009D7B46" w:rsidP="009D7B46">
      <w:pPr>
        <w:numPr>
          <w:ilvl w:val="0"/>
          <w:numId w:val="35"/>
        </w:numPr>
        <w:spacing w:after="0"/>
        <w:contextualSpacing/>
        <w:rPr>
          <w:rFonts w:eastAsiaTheme="minorHAnsi" w:cs="Arial"/>
          <w:color w:val="auto"/>
          <w:lang w:eastAsia="en-US"/>
        </w:rPr>
      </w:pPr>
      <w:r w:rsidRPr="009D7B46">
        <w:rPr>
          <w:rFonts w:eastAsiaTheme="minorHAnsi" w:cs="Arial"/>
          <w:color w:val="auto"/>
          <w:lang w:eastAsia="en-US"/>
        </w:rPr>
        <w:t>Economic Recovery Support (Increased footfall to our urban centres, in turn increasing spend)</w:t>
      </w:r>
    </w:p>
    <w:p w14:paraId="5EC3C44E" w14:textId="53A779D0" w:rsidR="009D7B46" w:rsidRPr="009D7B46" w:rsidRDefault="009D7B46" w:rsidP="009D7B46">
      <w:pPr>
        <w:numPr>
          <w:ilvl w:val="0"/>
          <w:numId w:val="35"/>
        </w:numPr>
        <w:spacing w:after="0"/>
        <w:contextualSpacing/>
        <w:rPr>
          <w:rFonts w:eastAsiaTheme="minorHAnsi" w:cs="Arial"/>
          <w:color w:val="auto"/>
          <w:lang w:eastAsia="en-US"/>
        </w:rPr>
      </w:pPr>
      <w:r w:rsidRPr="009D7B46">
        <w:rPr>
          <w:rFonts w:eastAsiaTheme="minorHAnsi" w:cs="Arial"/>
          <w:color w:val="auto"/>
          <w:lang w:eastAsia="en-US"/>
        </w:rPr>
        <w:t xml:space="preserve">Ecosystem diversification, with a more diverse mix of business types operating in </w:t>
      </w:r>
      <w:r w:rsidR="007C1CB2">
        <w:rPr>
          <w:rFonts w:eastAsiaTheme="minorHAnsi" w:cs="Arial"/>
          <w:color w:val="auto"/>
          <w:lang w:eastAsia="en-US"/>
        </w:rPr>
        <w:t>the</w:t>
      </w:r>
      <w:r w:rsidRPr="009D7B46">
        <w:rPr>
          <w:rFonts w:eastAsiaTheme="minorHAnsi" w:cs="Arial"/>
          <w:color w:val="auto"/>
          <w:lang w:eastAsia="en-US"/>
        </w:rPr>
        <w:t xml:space="preserve"> urban centres across the City and Districts </w:t>
      </w:r>
    </w:p>
    <w:p w14:paraId="6D468145" w14:textId="77777777" w:rsidR="00484900" w:rsidRPr="00484900" w:rsidRDefault="00484900" w:rsidP="009D7B46">
      <w:pPr>
        <w:pStyle w:val="ListParagraph"/>
        <w:numPr>
          <w:ilvl w:val="0"/>
          <w:numId w:val="0"/>
        </w:numPr>
        <w:ind w:left="426" w:right="226"/>
        <w:jc w:val="both"/>
      </w:pPr>
    </w:p>
    <w:p w14:paraId="44DA3265" w14:textId="67E20416" w:rsidR="00E4428C" w:rsidRDefault="00E4428C" w:rsidP="00E657DF">
      <w:pPr>
        <w:pStyle w:val="ListParagraph"/>
        <w:ind w:right="226"/>
        <w:jc w:val="both"/>
      </w:pPr>
      <w:r>
        <w:t>This will enable aspects of the inclusive economy agenda, by bringing forward affordable space and removing barriers for certain entrepreneurs in less well funded sectors (</w:t>
      </w:r>
      <w:r w:rsidR="00D8438A" w:rsidRPr="00445640">
        <w:t xml:space="preserve">including </w:t>
      </w:r>
      <w:r w:rsidR="00D8438A" w:rsidRPr="00445640">
        <w:rPr>
          <w:color w:val="auto"/>
        </w:rPr>
        <w:t>local businesses that would be new to the ‘</w:t>
      </w:r>
      <w:r w:rsidR="00E15CB1" w:rsidRPr="00445640">
        <w:rPr>
          <w:color w:val="auto"/>
        </w:rPr>
        <w:t>high street</w:t>
      </w:r>
      <w:r w:rsidR="00D8438A" w:rsidRPr="00445640">
        <w:rPr>
          <w:color w:val="auto"/>
        </w:rPr>
        <w:t xml:space="preserve">’, </w:t>
      </w:r>
      <w:r w:rsidR="00D8438A" w:rsidRPr="00445640">
        <w:t xml:space="preserve">social enterprises, co-operatives, creative arts, digital, </w:t>
      </w:r>
      <w:r w:rsidR="00D8438A">
        <w:t>etc.)</w:t>
      </w:r>
      <w:r>
        <w:t xml:space="preserve">. As part of the </w:t>
      </w:r>
      <w:r w:rsidR="009A6D6C">
        <w:t xml:space="preserve">feasibility work for each scheme </w:t>
      </w:r>
      <w:r>
        <w:t xml:space="preserve">officers will </w:t>
      </w:r>
      <w:r w:rsidR="009A6D6C">
        <w:t xml:space="preserve">look at options that include contracting with </w:t>
      </w:r>
      <w:r>
        <w:t>operators to let and operate the development</w:t>
      </w:r>
      <w:r w:rsidR="009A6D6C">
        <w:t xml:space="preserve"> to maximise outcomes</w:t>
      </w:r>
      <w:r w:rsidR="00D952C3">
        <w:t>.</w:t>
      </w:r>
    </w:p>
    <w:p w14:paraId="03D7D561" w14:textId="5AF909B0" w:rsidR="005C0019" w:rsidRDefault="005C0019" w:rsidP="00EA4954">
      <w:pPr>
        <w:pStyle w:val="ListParagraph"/>
        <w:ind w:right="226"/>
        <w:jc w:val="both"/>
      </w:pPr>
      <w:r w:rsidRPr="00726111">
        <w:t>T</w:t>
      </w:r>
      <w:r w:rsidRPr="00B104F6">
        <w:t xml:space="preserve">he focus would be </w:t>
      </w:r>
      <w:r w:rsidR="00EA4954">
        <w:t>to</w:t>
      </w:r>
      <w:r w:rsidR="00EA4954" w:rsidRPr="00EA4954">
        <w:t xml:space="preserve"> help to increase retail footfall, decrease vacanc</w:t>
      </w:r>
      <w:r w:rsidR="007C1CB2">
        <w:t>ies</w:t>
      </w:r>
      <w:r w:rsidR="00EA4954" w:rsidRPr="00EA4954">
        <w:t xml:space="preserve"> and help to diversify the mix and offer as part of high street recovery.</w:t>
      </w:r>
      <w:r w:rsidR="00EA4954">
        <w:t xml:space="preserve"> This will involve </w:t>
      </w:r>
      <w:r w:rsidRPr="00B104F6">
        <w:t xml:space="preserve">supporting business types that diversify the use mix in each location, and on supporting local, cultural, arts &amp; crafts, community </w:t>
      </w:r>
      <w:r w:rsidR="00EA4954">
        <w:t>&amp;</w:t>
      </w:r>
      <w:r w:rsidR="00EA4954" w:rsidRPr="00B104F6">
        <w:t xml:space="preserve"> </w:t>
      </w:r>
      <w:r w:rsidRPr="00B104F6">
        <w:t>social enterprise organisations</w:t>
      </w:r>
      <w:r w:rsidR="00EA4954">
        <w:t xml:space="preserve">, </w:t>
      </w:r>
      <w:r w:rsidR="00EA4954" w:rsidRPr="00396D00">
        <w:t>co-operatives</w:t>
      </w:r>
      <w:r w:rsidR="00EA4954">
        <w:t xml:space="preserve"> </w:t>
      </w:r>
      <w:r w:rsidR="00CA47B5">
        <w:t>and wider businesses</w:t>
      </w:r>
      <w:r w:rsidR="00EA4954">
        <w:t xml:space="preserve"> </w:t>
      </w:r>
      <w:r w:rsidRPr="00B104F6">
        <w:t>to find and activate units, to help bind communities together and encourage footfall.</w:t>
      </w:r>
    </w:p>
    <w:p w14:paraId="2D72482C" w14:textId="2B1C6E68" w:rsidR="002F0C8F" w:rsidRDefault="005C0019" w:rsidP="002F0C8F">
      <w:pPr>
        <w:pStyle w:val="ListParagraph"/>
        <w:ind w:right="226"/>
        <w:jc w:val="both"/>
      </w:pPr>
      <w:r>
        <w:t xml:space="preserve">OxLEP is keen to explore the potential for a creative workspace hub and a range </w:t>
      </w:r>
      <w:r w:rsidRPr="00B94A20">
        <w:t>of different workspace typologies, including co-working, studio, workshops etc</w:t>
      </w:r>
      <w:r>
        <w:t xml:space="preserve">. </w:t>
      </w:r>
      <w:r w:rsidRPr="00B94A20">
        <w:t xml:space="preserve">The funding will </w:t>
      </w:r>
      <w:r>
        <w:t xml:space="preserve">therefore </w:t>
      </w:r>
      <w:r w:rsidRPr="00B94A20">
        <w:t xml:space="preserve">be used to enable aspects of the inclusive economy agenda, by bringing forward affordable </w:t>
      </w:r>
      <w:r>
        <w:t xml:space="preserve">and accessible </w:t>
      </w:r>
      <w:r w:rsidRPr="00B94A20">
        <w:t xml:space="preserve">space </w:t>
      </w:r>
      <w:r>
        <w:t xml:space="preserve">through increased availability </w:t>
      </w:r>
      <w:r w:rsidRPr="00B94A20">
        <w:t xml:space="preserve">and </w:t>
      </w:r>
      <w:r>
        <w:t xml:space="preserve">by </w:t>
      </w:r>
      <w:r w:rsidRPr="00B94A20">
        <w:t>removing barriers for certain entrepreneurs in less well funded sectors</w:t>
      </w:r>
      <w:r w:rsidR="00EA4954">
        <w:t>,</w:t>
      </w:r>
      <w:r w:rsidRPr="00B94A20">
        <w:t xml:space="preserve"> </w:t>
      </w:r>
      <w:r w:rsidRPr="00396D00">
        <w:t xml:space="preserve">including </w:t>
      </w:r>
      <w:r w:rsidR="00EA4954">
        <w:t xml:space="preserve">those listed above and </w:t>
      </w:r>
      <w:r w:rsidRPr="00726111">
        <w:rPr>
          <w:color w:val="auto"/>
        </w:rPr>
        <w:t>local businesses that would be new to the ‘high street’</w:t>
      </w:r>
      <w:r w:rsidR="00EA4954">
        <w:rPr>
          <w:color w:val="auto"/>
        </w:rPr>
        <w:t>.</w:t>
      </w:r>
    </w:p>
    <w:p w14:paraId="2B3732B7" w14:textId="32874F05" w:rsidR="00D952C3" w:rsidRDefault="002F0C8F" w:rsidP="00FD5583">
      <w:pPr>
        <w:pStyle w:val="ListParagraph"/>
      </w:pPr>
      <w:r>
        <w:t>G</w:t>
      </w:r>
      <w:r w:rsidR="00CA47B5">
        <w:t>overnance</w:t>
      </w:r>
      <w:r>
        <w:t>-</w:t>
      </w:r>
      <w:r w:rsidR="00916F94" w:rsidRPr="00054F68">
        <w:t xml:space="preserve">‘Meanwhile in Oxfordshire…’ </w:t>
      </w:r>
      <w:r w:rsidR="00916F94">
        <w:t xml:space="preserve">project </w:t>
      </w:r>
      <w:r>
        <w:t xml:space="preserve">will be governed </w:t>
      </w:r>
      <w:r w:rsidR="00CA47B5">
        <w:t>by a</w:t>
      </w:r>
      <w:r w:rsidR="002642A5">
        <w:t>n officer</w:t>
      </w:r>
      <w:r w:rsidR="00CA47B5">
        <w:t xml:space="preserve"> steering group </w:t>
      </w:r>
      <w:r w:rsidR="00FD5583">
        <w:t xml:space="preserve">taken from all participating Councils </w:t>
      </w:r>
      <w:r w:rsidR="00CA47B5">
        <w:t>to oversee allocation of spend, agreeing allocation criteria and rent levels etc. This will be set out in the cont</w:t>
      </w:r>
      <w:r>
        <w:t>r</w:t>
      </w:r>
      <w:r w:rsidR="00CA47B5">
        <w:t>act with OxLEP</w:t>
      </w:r>
      <w:r>
        <w:t xml:space="preserve">. </w:t>
      </w:r>
      <w:r w:rsidR="00CA47B5">
        <w:t>City Council officers will work with the Leader of the Council, as Cabinet Member for Economic Development, plus the relevant Member Champions (</w:t>
      </w:r>
      <w:r w:rsidR="00535ACA">
        <w:t>i.e. Co-operatives Champion</w:t>
      </w:r>
      <w:r w:rsidR="00286355">
        <w:t xml:space="preserve"> and </w:t>
      </w:r>
      <w:r w:rsidR="00535ACA">
        <w:t>Small business Champion</w:t>
      </w:r>
      <w:r w:rsidR="00CA47B5">
        <w:t xml:space="preserve">) to help shape the project at the City level. </w:t>
      </w:r>
      <w:r>
        <w:t xml:space="preserve">A </w:t>
      </w:r>
      <w:r w:rsidR="00CA47B5">
        <w:t>full member briefing</w:t>
      </w:r>
      <w:r>
        <w:t xml:space="preserve"> will be undertaken once</w:t>
      </w:r>
      <w:r w:rsidR="00CA47B5">
        <w:t xml:space="preserve"> the operator is appointed to inform the pro</w:t>
      </w:r>
      <w:r w:rsidR="00B91673">
        <w:t>ject</w:t>
      </w:r>
      <w:r>
        <w:t>’s</w:t>
      </w:r>
      <w:r w:rsidR="00CA47B5">
        <w:t xml:space="preserve"> development. </w:t>
      </w:r>
      <w:r w:rsidR="00FD5583" w:rsidRPr="00FD5583">
        <w:t>The operator procurement will be subject to entering into the contract with OxLEP</w:t>
      </w:r>
    </w:p>
    <w:p w14:paraId="60A0DD30" w14:textId="77777777" w:rsidR="00B07B26" w:rsidRDefault="00B07B26" w:rsidP="002F0C8F">
      <w:pPr>
        <w:pStyle w:val="ListParagraph"/>
        <w:ind w:right="226"/>
        <w:jc w:val="both"/>
      </w:pPr>
      <w:r>
        <w:t xml:space="preserve">The anticipated programme </w:t>
      </w:r>
      <w:r w:rsidRPr="00543F31">
        <w:rPr>
          <w:rFonts w:cs="Arial"/>
          <w:color w:val="auto"/>
          <w:lang w:eastAsia="en-US"/>
        </w:rPr>
        <w:t xml:space="preserve">for delivery </w:t>
      </w:r>
      <w:r>
        <w:t>of works is:</w:t>
      </w:r>
    </w:p>
    <w:p w14:paraId="5E864267" w14:textId="36B570B2" w:rsidR="00D70609" w:rsidRDefault="00D70609" w:rsidP="009762CC">
      <w:pPr>
        <w:pStyle w:val="ListParagraph"/>
        <w:numPr>
          <w:ilvl w:val="0"/>
          <w:numId w:val="54"/>
        </w:numPr>
      </w:pPr>
      <w:r>
        <w:t>Procure operator–</w:t>
      </w:r>
      <w:r w:rsidR="00FD5583">
        <w:t xml:space="preserve">  </w:t>
      </w:r>
      <w:r w:rsidR="00916F94">
        <w:t xml:space="preserve">November 2020 </w:t>
      </w:r>
      <w:r w:rsidR="00FD5583">
        <w:t xml:space="preserve">to </w:t>
      </w:r>
      <w:r w:rsidR="009762CC">
        <w:t>January</w:t>
      </w:r>
      <w:r>
        <w:t xml:space="preserve"> 2021</w:t>
      </w:r>
    </w:p>
    <w:p w14:paraId="11713DD6" w14:textId="77777777" w:rsidR="002642A5" w:rsidRDefault="0028279C" w:rsidP="009762CC">
      <w:pPr>
        <w:pStyle w:val="ListParagraph"/>
        <w:numPr>
          <w:ilvl w:val="0"/>
          <w:numId w:val="54"/>
        </w:numPr>
      </w:pPr>
      <w:r>
        <w:t>Jan 20</w:t>
      </w:r>
      <w:r w:rsidR="00B07B26" w:rsidRPr="00DC7C5A">
        <w:t>21–Funding Agreements</w:t>
      </w:r>
      <w:r w:rsidR="00D70609">
        <w:t xml:space="preserve"> with OxLEP</w:t>
      </w:r>
      <w:r w:rsidR="00535ACA">
        <w:t>-</w:t>
      </w:r>
      <w:r w:rsidR="00D70609">
        <w:t>signed</w:t>
      </w:r>
    </w:p>
    <w:p w14:paraId="5D4B0A2D" w14:textId="562DC9C7" w:rsidR="002642A5" w:rsidRPr="002642A5" w:rsidRDefault="00D70609" w:rsidP="002642A5">
      <w:pPr>
        <w:pStyle w:val="ListParagraph"/>
        <w:numPr>
          <w:ilvl w:val="0"/>
          <w:numId w:val="54"/>
        </w:numPr>
      </w:pPr>
      <w:r>
        <w:t xml:space="preserve"> </w:t>
      </w:r>
      <w:r w:rsidR="00FD5583">
        <w:t>Appoint</w:t>
      </w:r>
      <w:r w:rsidR="002642A5" w:rsidRPr="002642A5">
        <w:t xml:space="preserve"> operator–January 2021</w:t>
      </w:r>
      <w:r w:rsidR="00FD5583">
        <w:t xml:space="preserve"> </w:t>
      </w:r>
    </w:p>
    <w:p w14:paraId="172824E1" w14:textId="6E50CAB5" w:rsidR="00B07B26" w:rsidRDefault="00B07B26" w:rsidP="009762CC">
      <w:pPr>
        <w:pStyle w:val="ListParagraph"/>
        <w:numPr>
          <w:ilvl w:val="0"/>
          <w:numId w:val="54"/>
        </w:numPr>
      </w:pPr>
      <w:r w:rsidRPr="00DC7C5A">
        <w:t>Feb-Nov 2021–</w:t>
      </w:r>
      <w:r w:rsidR="00D70609">
        <w:t>P</w:t>
      </w:r>
      <w:r w:rsidRPr="00DC7C5A">
        <w:t>roject delivery</w:t>
      </w:r>
    </w:p>
    <w:p w14:paraId="26FE8FB8" w14:textId="512BBEC9" w:rsidR="00B07B26" w:rsidRDefault="00CC4170" w:rsidP="009762CC">
      <w:pPr>
        <w:pStyle w:val="ListParagraph"/>
        <w:numPr>
          <w:ilvl w:val="0"/>
          <w:numId w:val="54"/>
        </w:numPr>
      </w:pPr>
      <w:r>
        <w:t>Dec 2021-</w:t>
      </w:r>
      <w:r w:rsidR="00B07B26">
        <w:t>Jan 202</w:t>
      </w:r>
      <w:r w:rsidR="00FD5583">
        <w:t>2</w:t>
      </w:r>
      <w:r w:rsidR="0028279C" w:rsidRPr="00DC7C5A">
        <w:t>–</w:t>
      </w:r>
      <w:r w:rsidR="0028279C">
        <w:t>Project Completion</w:t>
      </w:r>
    </w:p>
    <w:p w14:paraId="01CC3020" w14:textId="77777777" w:rsidR="0040736F" w:rsidRPr="001356F1" w:rsidRDefault="002329CF" w:rsidP="00E657DF">
      <w:pPr>
        <w:pStyle w:val="Heading1"/>
        <w:ind w:left="568" w:right="226" w:hanging="568"/>
        <w:jc w:val="both"/>
      </w:pPr>
      <w:r w:rsidRPr="001356F1">
        <w:t>Financial implications</w:t>
      </w:r>
    </w:p>
    <w:p w14:paraId="115EF087" w14:textId="167D05D4" w:rsidR="00E76B6C" w:rsidRDefault="00904210" w:rsidP="00CA47B5">
      <w:pPr>
        <w:pStyle w:val="ListParagraph"/>
      </w:pPr>
      <w:r>
        <w:t xml:space="preserve">All costs will be met by </w:t>
      </w:r>
      <w:r w:rsidR="00E76B6C">
        <w:t xml:space="preserve">the </w:t>
      </w:r>
      <w:r w:rsidR="001C0538">
        <w:t>£</w:t>
      </w:r>
      <w:r w:rsidR="009D7B46">
        <w:t xml:space="preserve">1.875 </w:t>
      </w:r>
      <w:r w:rsidR="005368A2">
        <w:t>million fu</w:t>
      </w:r>
      <w:r w:rsidR="00A11C1F">
        <w:t>nd</w:t>
      </w:r>
      <w:r w:rsidR="00E76B6C">
        <w:t>ing</w:t>
      </w:r>
      <w:r w:rsidR="00A11C1F">
        <w:t xml:space="preserve"> </w:t>
      </w:r>
      <w:r>
        <w:t xml:space="preserve">grant </w:t>
      </w:r>
      <w:r w:rsidR="00E76B6C">
        <w:t xml:space="preserve">from </w:t>
      </w:r>
      <w:r w:rsidR="00A11C1F">
        <w:t>OxLEP</w:t>
      </w:r>
      <w:r>
        <w:t>,</w:t>
      </w:r>
      <w:r w:rsidR="00A11C1F">
        <w:t xml:space="preserve"> </w:t>
      </w:r>
      <w:r w:rsidR="00D94025">
        <w:t>for which provision has yet to be made in the Council</w:t>
      </w:r>
      <w:r w:rsidR="00D93B71">
        <w:t>’</w:t>
      </w:r>
      <w:r w:rsidR="00D94025">
        <w:t>s capital programme</w:t>
      </w:r>
      <w:r w:rsidR="00E76B6C">
        <w:t xml:space="preserve">. </w:t>
      </w:r>
      <w:r w:rsidR="005C0019">
        <w:t xml:space="preserve">The operator will be required to meet costs that are identified to be revenue. This will be set out in the procurement documents when commissioning the operator and will be assessed as part of the review of their submission. </w:t>
      </w:r>
    </w:p>
    <w:p w14:paraId="6DE531B4" w14:textId="25BD5F78" w:rsidR="005A08FD" w:rsidRPr="005A08FD" w:rsidRDefault="005A08FD" w:rsidP="005A08FD">
      <w:pPr>
        <w:pStyle w:val="ListParagraph"/>
      </w:pPr>
      <w:r w:rsidRPr="005A08FD">
        <w:t>The</w:t>
      </w:r>
      <w:r w:rsidR="005C0019">
        <w:t xml:space="preserve"> internal project management</w:t>
      </w:r>
      <w:r w:rsidR="00904210" w:rsidRPr="005A08FD">
        <w:t xml:space="preserve"> </w:t>
      </w:r>
      <w:r w:rsidRPr="005A08FD">
        <w:t>costs for th</w:t>
      </w:r>
      <w:r w:rsidR="00904210">
        <w:t>i</w:t>
      </w:r>
      <w:r w:rsidRPr="005A08FD">
        <w:t>s project</w:t>
      </w:r>
      <w:r w:rsidR="00C10988">
        <w:t xml:space="preserve">, with </w:t>
      </w:r>
      <w:r w:rsidR="005F22CB">
        <w:t xml:space="preserve">Oxford City acting as the </w:t>
      </w:r>
      <w:r w:rsidR="00916F94">
        <w:t>Contracting authority</w:t>
      </w:r>
      <w:r w:rsidRPr="005A08FD">
        <w:t xml:space="preserve"> will be recouped from the OxLEP grant. The estimated projected total cost across </w:t>
      </w:r>
      <w:r w:rsidR="00D12CD3">
        <w:t xml:space="preserve">the </w:t>
      </w:r>
      <w:r w:rsidR="00347F91" w:rsidRPr="00054F68">
        <w:t xml:space="preserve">‘Meanwhile in Oxfordshire…’ </w:t>
      </w:r>
      <w:r w:rsidR="00347F91">
        <w:t xml:space="preserve">project </w:t>
      </w:r>
      <w:r w:rsidRPr="005A08FD">
        <w:t xml:space="preserve">is </w:t>
      </w:r>
      <w:r w:rsidRPr="00726111">
        <w:t>£</w:t>
      </w:r>
      <w:r w:rsidR="005C0019">
        <w:t>15</w:t>
      </w:r>
      <w:r w:rsidR="005F22CB" w:rsidRPr="00726111">
        <w:t>0,000</w:t>
      </w:r>
      <w:r w:rsidR="005C0019">
        <w:t>, although this will be confirmed as part of the contract with OxLEP</w:t>
      </w:r>
      <w:r w:rsidRPr="00726111">
        <w:t>.</w:t>
      </w:r>
      <w:r w:rsidRPr="005A08FD">
        <w:t xml:space="preserve"> </w:t>
      </w:r>
    </w:p>
    <w:p w14:paraId="645EA342" w14:textId="748DB6F2" w:rsidR="00E571E9" w:rsidRDefault="007C14E1" w:rsidP="00CA47B5">
      <w:pPr>
        <w:pStyle w:val="ListParagraph"/>
      </w:pPr>
      <w:r>
        <w:t xml:space="preserve">An initial State </w:t>
      </w:r>
      <w:r w:rsidR="00954F26">
        <w:t>A</w:t>
      </w:r>
      <w:r>
        <w:t xml:space="preserve">id assessment has been undertaken and this has indicated that </w:t>
      </w:r>
      <w:r w:rsidR="00D12CD3">
        <w:t>the Pro</w:t>
      </w:r>
      <w:r w:rsidR="00B91673">
        <w:t>ject</w:t>
      </w:r>
      <w:r w:rsidR="00D12CD3">
        <w:t xml:space="preserve"> </w:t>
      </w:r>
      <w:r w:rsidR="00954F26">
        <w:t xml:space="preserve">can be </w:t>
      </w:r>
      <w:r w:rsidR="00D12CD3">
        <w:t xml:space="preserve">funded </w:t>
      </w:r>
      <w:r w:rsidR="00954F26">
        <w:t>through the grant</w:t>
      </w:r>
      <w:r>
        <w:t xml:space="preserve">. This will be confirmed </w:t>
      </w:r>
      <w:r w:rsidR="005C0019">
        <w:t>prior to entering into contract with OxLEP</w:t>
      </w:r>
      <w:r w:rsidR="00032DA2">
        <w:t>.</w:t>
      </w:r>
      <w:r w:rsidR="004F10E2">
        <w:t xml:space="preserve"> </w:t>
      </w:r>
    </w:p>
    <w:p w14:paraId="1DAA0860" w14:textId="785F80F9" w:rsidR="008C1E7F" w:rsidRDefault="00142994" w:rsidP="00E657DF">
      <w:pPr>
        <w:pStyle w:val="ListParagraph"/>
        <w:ind w:right="226"/>
        <w:jc w:val="both"/>
      </w:pPr>
      <w:r>
        <w:t>It is important to note that t</w:t>
      </w:r>
      <w:r w:rsidR="00CE208F">
        <w:t xml:space="preserve">he funding is time limited. </w:t>
      </w:r>
      <w:r w:rsidR="00D12CD3">
        <w:t>The grant will be spent</w:t>
      </w:r>
      <w:r w:rsidR="005C0019">
        <w:t xml:space="preserve"> </w:t>
      </w:r>
      <w:r w:rsidR="00D12CD3">
        <w:t xml:space="preserve">on capital works between January </w:t>
      </w:r>
      <w:r w:rsidR="007C1CB2">
        <w:t xml:space="preserve">and </w:t>
      </w:r>
      <w:r w:rsidR="005F22CB">
        <w:t xml:space="preserve">November </w:t>
      </w:r>
      <w:r w:rsidR="00D12CD3">
        <w:t>202</w:t>
      </w:r>
      <w:r w:rsidR="005F22CB">
        <w:t>1</w:t>
      </w:r>
      <w:r w:rsidR="005C0019">
        <w:t xml:space="preserve">. </w:t>
      </w:r>
      <w:r w:rsidR="008C1E7F">
        <w:t xml:space="preserve"> </w:t>
      </w:r>
    </w:p>
    <w:p w14:paraId="1F1005D9" w14:textId="77777777" w:rsidR="0040736F" w:rsidRDefault="00DA614B" w:rsidP="00E657DF">
      <w:pPr>
        <w:pStyle w:val="Heading1"/>
        <w:ind w:right="226"/>
        <w:jc w:val="both"/>
      </w:pPr>
      <w:r w:rsidRPr="001356F1">
        <w:t>Legal issues</w:t>
      </w:r>
    </w:p>
    <w:p w14:paraId="4B5A2901" w14:textId="5CE3EFFE" w:rsidR="00916F94" w:rsidRPr="00E7436D" w:rsidRDefault="00E7436D" w:rsidP="00916F94">
      <w:r>
        <w:t>In undertaking this activity the Council is relying upon the</w:t>
      </w:r>
      <w:r w:rsidRPr="00E7436D">
        <w:t xml:space="preserve"> General Power of Competence </w:t>
      </w:r>
      <w:r>
        <w:t xml:space="preserve">in </w:t>
      </w:r>
      <w:r w:rsidRPr="00E7436D">
        <w:t xml:space="preserve">Section 1 (1) of the </w:t>
      </w:r>
      <w:r>
        <w:t xml:space="preserve">Localism </w:t>
      </w:r>
      <w:r w:rsidRPr="00E7436D">
        <w:t xml:space="preserve">Act </w:t>
      </w:r>
      <w:r>
        <w:t xml:space="preserve">2011 which </w:t>
      </w:r>
      <w:r w:rsidRPr="00E7436D">
        <w:t>provides that “a local authority has power to do anything that individuals generally may do</w:t>
      </w:r>
      <w:r>
        <w:t xml:space="preserve">” </w:t>
      </w:r>
      <w:r w:rsidR="004A0BAF">
        <w:t>A</w:t>
      </w:r>
      <w:r>
        <w:t xml:space="preserve"> local authority </w:t>
      </w:r>
      <w:r w:rsidR="004A0BAF">
        <w:t xml:space="preserve">in </w:t>
      </w:r>
      <w:r>
        <w:t>exercising the general power</w:t>
      </w:r>
      <w:r w:rsidR="004A0BAF">
        <w:t xml:space="preserve"> is permitted </w:t>
      </w:r>
      <w:r>
        <w:t>to do it in any way whatever, including</w:t>
      </w:r>
      <w:r w:rsidR="004A0BAF" w:rsidRPr="004A0BAF">
        <w:t>(c) power to do it for, or otherwise than for, the benefit of the authority, its area or persons resident or present in its area.</w:t>
      </w:r>
      <w:r w:rsidR="004A0BAF">
        <w:t xml:space="preserve"> The Council’s aims in undertaking this activity are set out in paragraphs 10 to 13 above. </w:t>
      </w:r>
    </w:p>
    <w:p w14:paraId="44BD076F" w14:textId="210857C3" w:rsidR="00E87F7A" w:rsidRDefault="00C518AB" w:rsidP="00E657DF">
      <w:pPr>
        <w:pStyle w:val="ListParagraph"/>
        <w:ind w:right="226"/>
        <w:jc w:val="both"/>
      </w:pPr>
      <w:r>
        <w:t xml:space="preserve">The </w:t>
      </w:r>
      <w:r w:rsidR="00CE2C77">
        <w:t>Council has</w:t>
      </w:r>
      <w:r w:rsidR="00AD6A3B" w:rsidRPr="00AD6A3B">
        <w:t xml:space="preserve"> commissioned Browne </w:t>
      </w:r>
      <w:r w:rsidR="006A4A39" w:rsidRPr="00AD6A3B">
        <w:t>Jacobs</w:t>
      </w:r>
      <w:r>
        <w:t>o</w:t>
      </w:r>
      <w:r w:rsidR="006A4A39" w:rsidRPr="00AD6A3B">
        <w:t>n</w:t>
      </w:r>
      <w:r>
        <w:t xml:space="preserve"> LLP</w:t>
      </w:r>
      <w:r w:rsidR="00CE2C77">
        <w:t xml:space="preserve"> </w:t>
      </w:r>
      <w:r w:rsidR="00AD6A3B" w:rsidRPr="00AD6A3B">
        <w:t>to provide an independent state aid assessment which is required as a pre-condition of the funding agreement with OxLEP.</w:t>
      </w:r>
      <w:r w:rsidR="00AD6A3B">
        <w:t xml:space="preserve"> </w:t>
      </w:r>
    </w:p>
    <w:p w14:paraId="72CD5D5C" w14:textId="13A19B8E" w:rsidR="00C56898" w:rsidRDefault="00AD6A3B" w:rsidP="00726111">
      <w:pPr>
        <w:pStyle w:val="ListParagraph"/>
        <w:ind w:right="226"/>
        <w:jc w:val="both"/>
      </w:pPr>
      <w:r>
        <w:t>Browne Jacobs</w:t>
      </w:r>
      <w:r w:rsidR="00286AC8">
        <w:t>o</w:t>
      </w:r>
      <w:r>
        <w:t xml:space="preserve">n </w:t>
      </w:r>
      <w:r w:rsidR="00286AC8">
        <w:t xml:space="preserve">LLP </w:t>
      </w:r>
      <w:r w:rsidR="00C56898">
        <w:t>has advised:</w:t>
      </w:r>
    </w:p>
    <w:p w14:paraId="5564B208" w14:textId="6DD86ABD" w:rsidR="00C56898" w:rsidRDefault="00C56898" w:rsidP="00C56898">
      <w:pPr>
        <w:pStyle w:val="ListParagraph"/>
      </w:pPr>
      <w:r>
        <w:t>The Councils will not be act</w:t>
      </w:r>
      <w:r w:rsidR="00E80D80">
        <w:t>ing</w:t>
      </w:r>
      <w:r>
        <w:t xml:space="preserve"> as an undertaking for the purposes </w:t>
      </w:r>
      <w:r w:rsidR="00E80D80">
        <w:t>of the project</w:t>
      </w:r>
      <w:r w:rsidR="00DB3C1D">
        <w:t xml:space="preserve"> and will</w:t>
      </w:r>
      <w:r>
        <w:t xml:space="preserve"> be passing </w:t>
      </w:r>
      <w:r w:rsidR="002A3BBC">
        <w:t xml:space="preserve">on </w:t>
      </w:r>
      <w:r>
        <w:t>any aid</w:t>
      </w:r>
      <w:r w:rsidR="00DB3C1D">
        <w:t xml:space="preserve">. They </w:t>
      </w:r>
      <w:r>
        <w:t xml:space="preserve">will not be receiving any net benefit from the funding. Accordingly, they will not receive State aid. </w:t>
      </w:r>
    </w:p>
    <w:p w14:paraId="130EB45A" w14:textId="77777777" w:rsidR="00C56898" w:rsidRDefault="00C56898" w:rsidP="00C56898">
      <w:pPr>
        <w:pStyle w:val="ListParagraph"/>
      </w:pPr>
      <w:r>
        <w:t>If the operator(s) and the providers carrying out the fit out work are procured by open, non-discriminatory tenders to ensure that they are paid no more than a market price, they should not be receiving State aid.</w:t>
      </w:r>
    </w:p>
    <w:p w14:paraId="36299333" w14:textId="77777777" w:rsidR="00C56898" w:rsidRDefault="00C56898" w:rsidP="00C56898">
      <w:pPr>
        <w:pStyle w:val="ListParagraph"/>
      </w:pPr>
      <w:r>
        <w:t xml:space="preserve">The occupiers of the units, depending on what they do, may not be economic undertakings. Even if they are, the aid provided to them may not affect trade between Member states. It will depend in each case. If all the State aid tests are passed, then we recommend that the De Minimis Regulation is applied to avoid illegal State aid.        </w:t>
      </w:r>
    </w:p>
    <w:p w14:paraId="7D005314" w14:textId="40BC0ADF" w:rsidR="00C56898" w:rsidRDefault="00C56898" w:rsidP="00C56898">
      <w:pPr>
        <w:pStyle w:val="ListParagraph"/>
      </w:pPr>
      <w:r>
        <w:t xml:space="preserve">The best route to avoid illegal State aid to landlords will be to ensure that the operator(s) agree terms for the short term leases that are no more favourable than market rate. This will include consideration of whether the fit out rates will continue to be of benefit once the leases have expired, how much rent is payable to the landlord and whether this is influenced by the deferral of the landlord’s liability to pay business rates on the property in question. If the rate is not a market rate, then consideration should be given to whether the aid may affect trade between Member states (although this is more likely than with the occupiers). If all the State aid tests are passed, then we recommend that the De Minimis Regulation is applied to avoid illegal State aid.  </w:t>
      </w:r>
    </w:p>
    <w:p w14:paraId="3D0FBEE2" w14:textId="598FF210" w:rsidR="00776550" w:rsidRDefault="00C56898" w:rsidP="00776550">
      <w:pPr>
        <w:pStyle w:val="ListParagraph"/>
      </w:pPr>
      <w:r>
        <w:t xml:space="preserve">It is therefore considered possible to structure this arrangement in such a way as to avoid illegal state aid or in the event that </w:t>
      </w:r>
      <w:r w:rsidR="00776550">
        <w:t xml:space="preserve">there is no other State aid compliant route to rely upon the Commission Regulation 1407/2013 on de </w:t>
      </w:r>
      <w:proofErr w:type="spellStart"/>
      <w:r w:rsidR="00776550">
        <w:t>minimis</w:t>
      </w:r>
      <w:proofErr w:type="spellEnd"/>
      <w:r w:rsidR="00776550">
        <w:t xml:space="preserve"> aid allowing a beneficiary of State aid to receive up to €200,000 over 3 fiscal years (the Quota) without notification to the EU and without it being considered illegal. A declaration in advance of aid being provided would be required from each recipient that this applied to.</w:t>
      </w:r>
    </w:p>
    <w:p w14:paraId="6112A8F8" w14:textId="31230FFD" w:rsidR="00AD6A3B" w:rsidRPr="00EA4C22" w:rsidRDefault="00AD75A0" w:rsidP="00EA4C22">
      <w:pPr>
        <w:pStyle w:val="ListParagraph"/>
        <w:rPr>
          <w:color w:val="FF0000"/>
        </w:rPr>
      </w:pPr>
      <w:r w:rsidRPr="00EA4C22">
        <w:rPr>
          <w:color w:val="auto"/>
        </w:rPr>
        <w:t xml:space="preserve">Any procurement exercise should be undertaken in compliance with the Public Contract Regulations 2015 and the Council’s Contract Rules. </w:t>
      </w:r>
    </w:p>
    <w:p w14:paraId="3EE31CD7" w14:textId="77777777" w:rsidR="002329CF" w:rsidRPr="001356F1" w:rsidRDefault="002329CF" w:rsidP="00E657DF">
      <w:pPr>
        <w:pStyle w:val="Heading1"/>
        <w:ind w:right="226"/>
        <w:jc w:val="both"/>
      </w:pPr>
      <w:r w:rsidRPr="001356F1">
        <w:t>Level of risk</w:t>
      </w:r>
    </w:p>
    <w:p w14:paraId="29D64297" w14:textId="25CD33E1" w:rsidR="00BC69A4" w:rsidRPr="00EA5261" w:rsidRDefault="00AD6A3B" w:rsidP="00E657DF">
      <w:pPr>
        <w:pStyle w:val="ListParagraph"/>
        <w:ind w:right="226"/>
        <w:jc w:val="both"/>
      </w:pPr>
      <w:r w:rsidRPr="00EA5261">
        <w:t xml:space="preserve">Refer to the attached Risk Register Appendix </w:t>
      </w:r>
      <w:r w:rsidR="00D952C3" w:rsidRPr="00EA5261">
        <w:t>1</w:t>
      </w:r>
    </w:p>
    <w:p w14:paraId="1BC57692" w14:textId="16E6CE24" w:rsidR="00C914BF" w:rsidRDefault="00AD6A3B" w:rsidP="00E657DF">
      <w:pPr>
        <w:pStyle w:val="ListParagraph"/>
        <w:ind w:right="226"/>
        <w:jc w:val="both"/>
      </w:pPr>
      <w:r w:rsidRPr="00AD6A3B">
        <w:t>Oxford City Council is required to enter int</w:t>
      </w:r>
      <w:r w:rsidR="002F113A">
        <w:t>o contractual Funding Agreement</w:t>
      </w:r>
      <w:r w:rsidRPr="00AD6A3B">
        <w:t xml:space="preserve"> with Oxfordshire Local Enterprise Partnership for </w:t>
      </w:r>
      <w:r w:rsidR="00ED726C">
        <w:t>“</w:t>
      </w:r>
      <w:r w:rsidR="002F113A">
        <w:t>Getting Building Fund</w:t>
      </w:r>
      <w:r w:rsidR="00ED726C">
        <w:t>”</w:t>
      </w:r>
      <w:r w:rsidR="002F113A">
        <w:t xml:space="preserve"> </w:t>
      </w:r>
      <w:r w:rsidRPr="00AD6A3B">
        <w:t xml:space="preserve">Funding by the end of </w:t>
      </w:r>
      <w:r w:rsidR="003E5083">
        <w:t>Febr</w:t>
      </w:r>
      <w:r w:rsidR="00D12CD3" w:rsidRPr="00EA5261">
        <w:t>uary 2021</w:t>
      </w:r>
      <w:r w:rsidR="00D12CD3">
        <w:t xml:space="preserve"> </w:t>
      </w:r>
      <w:r w:rsidRPr="00AD6A3B">
        <w:t xml:space="preserve">or funding will be withdrawn. </w:t>
      </w:r>
      <w:r w:rsidR="007C1CB2">
        <w:t>The Council is</w:t>
      </w:r>
      <w:r w:rsidR="0009337D">
        <w:t xml:space="preserve"> putting in place all the procedures to ensure timely completion.</w:t>
      </w:r>
    </w:p>
    <w:p w14:paraId="3AB2EDE6" w14:textId="2F5FCA21" w:rsidR="00AD6A3B" w:rsidRDefault="00AD6A3B" w:rsidP="00E657DF">
      <w:pPr>
        <w:pStyle w:val="ListParagraph"/>
        <w:ind w:right="226"/>
        <w:jc w:val="both"/>
      </w:pPr>
      <w:r w:rsidRPr="00AD6A3B">
        <w:t>Under the terms of the OxLEP agreement</w:t>
      </w:r>
      <w:r w:rsidR="0009337D">
        <w:t>,</w:t>
      </w:r>
      <w:r w:rsidRPr="00AD6A3B">
        <w:t xml:space="preserve"> </w:t>
      </w:r>
      <w:r w:rsidR="0009337D">
        <w:t xml:space="preserve">the project timeframes state </w:t>
      </w:r>
      <w:r w:rsidR="00F711D2">
        <w:t>the Council</w:t>
      </w:r>
      <w:r w:rsidR="0009337D">
        <w:t xml:space="preserve"> must spend the money and deliver the outcomes </w:t>
      </w:r>
      <w:r w:rsidRPr="00AD6A3B">
        <w:t xml:space="preserve">by end </w:t>
      </w:r>
      <w:r w:rsidR="002F113A">
        <w:t xml:space="preserve">of </w:t>
      </w:r>
      <w:r w:rsidR="002F113A" w:rsidRPr="002F113A">
        <w:t>January 2022</w:t>
      </w:r>
      <w:r w:rsidRPr="00AD6A3B">
        <w:t xml:space="preserve">. </w:t>
      </w:r>
      <w:r w:rsidR="00F711D2">
        <w:t>The Council</w:t>
      </w:r>
      <w:r w:rsidR="0009337D">
        <w:t xml:space="preserve"> will mitigate these risks by </w:t>
      </w:r>
      <w:r w:rsidR="0087451C" w:rsidRPr="0087451C">
        <w:t>commission</w:t>
      </w:r>
      <w:r w:rsidR="0087451C">
        <w:t>ing</w:t>
      </w:r>
      <w:r w:rsidR="0087451C" w:rsidRPr="0087451C">
        <w:t xml:space="preserve"> an appropriately experienced meanwhile operator</w:t>
      </w:r>
      <w:r w:rsidR="0087451C">
        <w:t>.</w:t>
      </w:r>
    </w:p>
    <w:p w14:paraId="5B73F4AA" w14:textId="01DC6C50" w:rsidR="0009337D" w:rsidRDefault="006B451B" w:rsidP="00E657DF">
      <w:pPr>
        <w:pStyle w:val="ListParagraph"/>
        <w:ind w:right="226"/>
        <w:jc w:val="both"/>
      </w:pPr>
      <w:r>
        <w:t xml:space="preserve">Co-ordination with partners, OxLEP and the Districts, will be a key factor and a risk and will be managed by incorporating a strong governance structure with appropriate MOU’s or Articles of Association and regular well managed meetings. </w:t>
      </w:r>
    </w:p>
    <w:p w14:paraId="2F161095" w14:textId="02F7655F" w:rsidR="00A830A5" w:rsidRDefault="00A830A5" w:rsidP="00954F26">
      <w:pPr>
        <w:pStyle w:val="ListParagraph"/>
      </w:pPr>
      <w:r w:rsidRPr="00A830A5">
        <w:t xml:space="preserve">State aid implications need to </w:t>
      </w:r>
      <w:r>
        <w:t xml:space="preserve">be </w:t>
      </w:r>
      <w:r w:rsidRPr="00A830A5">
        <w:t>worked through and we have commissioned legal advice</w:t>
      </w:r>
      <w:r>
        <w:t xml:space="preserve"> (See Legal section)</w:t>
      </w:r>
    </w:p>
    <w:p w14:paraId="589F7A04" w14:textId="3F234E18" w:rsidR="00A830A5" w:rsidRDefault="00A830A5" w:rsidP="00954F26">
      <w:pPr>
        <w:pStyle w:val="ListParagraph"/>
      </w:pPr>
      <w:r w:rsidRPr="00A830A5">
        <w:t>In the event the project is unable to procur</w:t>
      </w:r>
      <w:r>
        <w:t>e</w:t>
      </w:r>
      <w:r w:rsidRPr="00A830A5">
        <w:t xml:space="preserve"> a suitably qualified meanwhile operator</w:t>
      </w:r>
      <w:r>
        <w:t>-</w:t>
      </w:r>
      <w:r w:rsidRPr="00A830A5">
        <w:t xml:space="preserve">the project would need to be downsized depending on available resources and delivered separately by each district contracting with the </w:t>
      </w:r>
      <w:r w:rsidR="00D77A31">
        <w:t>Ox</w:t>
      </w:r>
      <w:r w:rsidRPr="00A830A5">
        <w:t>LEP.</w:t>
      </w:r>
    </w:p>
    <w:p w14:paraId="4FAB16E9" w14:textId="37167EF5" w:rsidR="00A830A5" w:rsidRDefault="00A830A5" w:rsidP="00954F26">
      <w:pPr>
        <w:pStyle w:val="ListParagraph"/>
      </w:pPr>
      <w:r w:rsidRPr="0087451C">
        <w:t xml:space="preserve">In the event </w:t>
      </w:r>
      <w:r w:rsidR="0087451C">
        <w:t xml:space="preserve">that </w:t>
      </w:r>
      <w:r w:rsidRPr="0087451C">
        <w:t>the project cannot deliver the full number of units, or spend all the money</w:t>
      </w:r>
      <w:r w:rsidR="0087451C">
        <w:t xml:space="preserve"> within the agreed timescales</w:t>
      </w:r>
      <w:r>
        <w:t xml:space="preserve">, we have agreed with the </w:t>
      </w:r>
      <w:r w:rsidR="00D77A31">
        <w:t>Ox</w:t>
      </w:r>
      <w:r>
        <w:t xml:space="preserve">LEP </w:t>
      </w:r>
      <w:r w:rsidR="0087451C">
        <w:t xml:space="preserve">a ‘proportionate approach’ which will be clarified/explicit in the </w:t>
      </w:r>
      <w:r w:rsidRPr="00A830A5">
        <w:t>contract</w:t>
      </w:r>
      <w:r w:rsidR="0087451C">
        <w:t>. This would mean</w:t>
      </w:r>
      <w:r w:rsidRPr="00A830A5">
        <w:t xml:space="preserve"> that </w:t>
      </w:r>
      <w:r w:rsidR="0087451C">
        <w:t xml:space="preserve">the </w:t>
      </w:r>
      <w:r w:rsidRPr="00A830A5">
        <w:t>costs incurred in the delivery of the project</w:t>
      </w:r>
      <w:r w:rsidR="0087451C">
        <w:t>-</w:t>
      </w:r>
      <w:r w:rsidRPr="00A830A5">
        <w:t>so long as spent in line with the project scope and contract</w:t>
      </w:r>
      <w:r w:rsidR="0087451C">
        <w:t>-</w:t>
      </w:r>
      <w:r w:rsidRPr="00A830A5">
        <w:t>will not be subject to claw back</w:t>
      </w:r>
      <w:r w:rsidR="0087451C">
        <w:t xml:space="preserve"> if not all project outcomes are met.</w:t>
      </w:r>
    </w:p>
    <w:p w14:paraId="7F4EE993" w14:textId="11581690" w:rsidR="004C73F0" w:rsidRDefault="004D0A89" w:rsidP="00954F26">
      <w:pPr>
        <w:pStyle w:val="ListParagraph"/>
      </w:pPr>
      <w:r w:rsidRPr="0087451C">
        <w:t xml:space="preserve">In the event </w:t>
      </w:r>
      <w:r>
        <w:t>t</w:t>
      </w:r>
      <w:r w:rsidR="004C73F0">
        <w:t xml:space="preserve">here </w:t>
      </w:r>
      <w:r>
        <w:t xml:space="preserve">are </w:t>
      </w:r>
      <w:r w:rsidR="004C73F0">
        <w:t>delay</w:t>
      </w:r>
      <w:r>
        <w:t>s</w:t>
      </w:r>
      <w:r w:rsidR="004C73F0">
        <w:t xml:space="preserve"> of the </w:t>
      </w:r>
      <w:r>
        <w:t xml:space="preserve">fit out </w:t>
      </w:r>
      <w:r w:rsidR="004C73F0">
        <w:t>works to the retail units due to Covid-19, or other unforeseen circumstances</w:t>
      </w:r>
      <w:r>
        <w:t>, t</w:t>
      </w:r>
      <w:r w:rsidR="004C73F0">
        <w:t xml:space="preserve">hese would be mitigated by early appointment of the </w:t>
      </w:r>
      <w:r>
        <w:t>Meanwhile operator</w:t>
      </w:r>
      <w:r w:rsidR="004C73F0">
        <w:t xml:space="preserve"> and good project </w:t>
      </w:r>
      <w:r w:rsidR="00E51F81">
        <w:t xml:space="preserve">management. </w:t>
      </w:r>
    </w:p>
    <w:p w14:paraId="7D5D6825" w14:textId="77777777" w:rsidR="002329CF" w:rsidRPr="001356F1" w:rsidRDefault="002329CF" w:rsidP="00E657DF">
      <w:pPr>
        <w:pStyle w:val="Heading1"/>
        <w:ind w:left="426" w:right="226" w:hanging="426"/>
        <w:jc w:val="both"/>
      </w:pPr>
      <w:r w:rsidRPr="001356F1">
        <w:t xml:space="preserve">Equalities impact </w:t>
      </w:r>
    </w:p>
    <w:p w14:paraId="1765EEFD" w14:textId="1D270E4E" w:rsidR="002329CF" w:rsidRPr="00E53C63" w:rsidRDefault="00AD6A3B" w:rsidP="00EA4C22">
      <w:pPr>
        <w:pStyle w:val="ListParagraph"/>
      </w:pPr>
      <w:r w:rsidRPr="002F0C8F">
        <w:t xml:space="preserve">Refer to the </w:t>
      </w:r>
      <w:r w:rsidR="0093067A" w:rsidRPr="002F0C8F">
        <w:t>Equalities Impact Assessment</w:t>
      </w:r>
      <w:r w:rsidR="002329CF" w:rsidRPr="002F0C8F">
        <w:t xml:space="preserve"> </w:t>
      </w:r>
      <w:r w:rsidRPr="002F0C8F">
        <w:t xml:space="preserve">Appendix </w:t>
      </w:r>
      <w:r w:rsidR="00D952C3" w:rsidRPr="002F0C8F">
        <w:t>2</w:t>
      </w:r>
    </w:p>
    <w:p w14:paraId="2B8C0ABF" w14:textId="77777777" w:rsidR="00E87F7A" w:rsidRPr="001356F1" w:rsidRDefault="00E87F7A" w:rsidP="00E657DF">
      <w:pPr>
        <w:pStyle w:val="Heading1"/>
        <w:ind w:right="226"/>
        <w:jc w:val="both"/>
      </w:pPr>
      <w:r w:rsidRPr="001356F1">
        <w:t>Conclusion</w:t>
      </w:r>
    </w:p>
    <w:p w14:paraId="268FEA00" w14:textId="2E88126F" w:rsidR="002329CF" w:rsidRDefault="00EA2ABE" w:rsidP="004D0A89">
      <w:pPr>
        <w:pStyle w:val="ListParagraph"/>
        <w:ind w:right="226"/>
        <w:jc w:val="both"/>
      </w:pPr>
      <w:r>
        <w:t xml:space="preserve">The </w:t>
      </w:r>
      <w:r w:rsidR="00B46917">
        <w:t xml:space="preserve">OxLEP </w:t>
      </w:r>
      <w:r w:rsidR="002F113A">
        <w:t xml:space="preserve">Getting Building Fund </w:t>
      </w:r>
      <w:r w:rsidR="00076B64">
        <w:t>f</w:t>
      </w:r>
      <w:r w:rsidR="00B46917">
        <w:t>unding</w:t>
      </w:r>
      <w:r w:rsidRPr="00EA2ABE">
        <w:t xml:space="preserve"> will </w:t>
      </w:r>
      <w:r w:rsidR="00B46917">
        <w:t xml:space="preserve">enable the Council to </w:t>
      </w:r>
      <w:r w:rsidR="00EC769C" w:rsidRPr="00B104F6">
        <w:t xml:space="preserve">support business types that diversify the use mix in each location, and </w:t>
      </w:r>
      <w:r w:rsidR="00EC769C">
        <w:t>support</w:t>
      </w:r>
      <w:r w:rsidR="00EC769C" w:rsidRPr="00B104F6">
        <w:t xml:space="preserve"> local, cultural, arts &amp; crafts, community and social enterprise organisations</w:t>
      </w:r>
      <w:r w:rsidR="00CA47B5">
        <w:t>-and wider businesses-</w:t>
      </w:r>
      <w:r w:rsidR="00EC769C" w:rsidRPr="00B104F6">
        <w:t xml:space="preserve"> to find and activate units, to help bind communities together and encourage footfall</w:t>
      </w:r>
      <w:r w:rsidR="00EC769C">
        <w:t xml:space="preserve"> by </w:t>
      </w:r>
      <w:r w:rsidR="00B46917">
        <w:t>bring</w:t>
      </w:r>
      <w:r w:rsidR="00EC769C">
        <w:t>ing</w:t>
      </w:r>
      <w:r w:rsidR="00B46917">
        <w:t xml:space="preserve"> forward</w:t>
      </w:r>
      <w:r w:rsidRPr="00EA2ABE">
        <w:t xml:space="preserve"> affordable </w:t>
      </w:r>
      <w:r w:rsidR="00D8438A">
        <w:t>opportunities</w:t>
      </w:r>
      <w:r w:rsidR="00D8438A" w:rsidRPr="00EA2ABE">
        <w:t xml:space="preserve"> </w:t>
      </w:r>
      <w:r>
        <w:t>to</w:t>
      </w:r>
      <w:r w:rsidRPr="00EA2ABE">
        <w:t xml:space="preserve"> </w:t>
      </w:r>
      <w:r w:rsidR="00B46917">
        <w:t>support</w:t>
      </w:r>
      <w:r w:rsidRPr="00EA2ABE">
        <w:t xml:space="preserve"> the inclusive economy agenda, removing barriers for certain entrepreneurs in less well funded sectors</w:t>
      </w:r>
      <w:r w:rsidR="00EC769C">
        <w:t>.</w:t>
      </w:r>
      <w:r w:rsidRPr="00EA2ABE">
        <w:t xml:space="preserve"> </w:t>
      </w:r>
    </w:p>
    <w:p w14:paraId="4F4ED124" w14:textId="77777777" w:rsidR="004D0A89" w:rsidRPr="001356F1" w:rsidRDefault="004D0A89" w:rsidP="00CA6B95">
      <w:pPr>
        <w:ind w:right="2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1E5E99C"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A10D0F9" w14:textId="5D8CE4A4" w:rsidR="00E87F7A" w:rsidRPr="001356F1" w:rsidRDefault="00E87F7A" w:rsidP="00A46E98">
            <w:pPr>
              <w:rPr>
                <w:b/>
              </w:rPr>
            </w:pPr>
            <w:r w:rsidRPr="001356F1">
              <w:rPr>
                <w:b/>
              </w:rPr>
              <w:t>Report author</w:t>
            </w:r>
            <w:r w:rsidR="00B85F6B">
              <w:rPr>
                <w:b/>
              </w:rPr>
              <w:t>s</w:t>
            </w:r>
          </w:p>
        </w:tc>
        <w:tc>
          <w:tcPr>
            <w:tcW w:w="4962" w:type="dxa"/>
            <w:tcBorders>
              <w:top w:val="single" w:sz="8" w:space="0" w:color="000000"/>
              <w:left w:val="nil"/>
              <w:bottom w:val="single" w:sz="8" w:space="0" w:color="000000"/>
              <w:right w:val="single" w:sz="8" w:space="0" w:color="000000"/>
            </w:tcBorders>
            <w:shd w:val="clear" w:color="auto" w:fill="auto"/>
          </w:tcPr>
          <w:p w14:paraId="4758C3E0" w14:textId="02937F4A" w:rsidR="002F113A" w:rsidRDefault="002F113A" w:rsidP="006F19CC">
            <w:pPr>
              <w:ind w:left="360" w:hanging="360"/>
            </w:pPr>
            <w:r>
              <w:t>Clayton Lavallin</w:t>
            </w:r>
            <w:r w:rsidR="00EA2ABE">
              <w:t>–</w:t>
            </w:r>
            <w:r>
              <w:t xml:space="preserve">Principal Regeneration &amp; </w:t>
            </w:r>
            <w:r w:rsidR="00EA2ABE">
              <w:t xml:space="preserve">Economic Development </w:t>
            </w:r>
            <w:r>
              <w:t>Offic</w:t>
            </w:r>
            <w:r w:rsidR="00EA2ABE">
              <w:t>er</w:t>
            </w:r>
          </w:p>
          <w:p w14:paraId="722DCB87" w14:textId="667A72D0" w:rsidR="00E87F7A" w:rsidRPr="001356F1" w:rsidRDefault="002F113A" w:rsidP="006F19CC">
            <w:pPr>
              <w:ind w:left="360" w:hanging="360"/>
            </w:pPr>
            <w:r>
              <w:t xml:space="preserve">Steve Weitzel–Regeneration Manager </w:t>
            </w:r>
          </w:p>
        </w:tc>
      </w:tr>
      <w:tr w:rsidR="00DF093E" w:rsidRPr="001356F1" w14:paraId="333233B5" w14:textId="77777777" w:rsidTr="00A46E98">
        <w:trPr>
          <w:cantSplit/>
          <w:trHeight w:val="396"/>
        </w:trPr>
        <w:tc>
          <w:tcPr>
            <w:tcW w:w="3969" w:type="dxa"/>
            <w:tcBorders>
              <w:top w:val="nil"/>
              <w:left w:val="single" w:sz="8" w:space="0" w:color="000000"/>
              <w:bottom w:val="nil"/>
              <w:right w:val="nil"/>
            </w:tcBorders>
            <w:shd w:val="clear" w:color="auto" w:fill="auto"/>
          </w:tcPr>
          <w:p w14:paraId="4C3FF158" w14:textId="5EF9341D" w:rsidR="00E87F7A" w:rsidRPr="001356F1" w:rsidRDefault="00E87F7A" w:rsidP="00A46E98">
            <w:r w:rsidRPr="001356F1">
              <w:t>Service area or department</w:t>
            </w:r>
            <w:r w:rsidR="00B85F6B">
              <w:t>:</w:t>
            </w:r>
          </w:p>
        </w:tc>
        <w:tc>
          <w:tcPr>
            <w:tcW w:w="4962" w:type="dxa"/>
            <w:tcBorders>
              <w:top w:val="nil"/>
              <w:left w:val="nil"/>
              <w:bottom w:val="nil"/>
              <w:right w:val="single" w:sz="8" w:space="0" w:color="000000"/>
            </w:tcBorders>
            <w:shd w:val="clear" w:color="auto" w:fill="auto"/>
          </w:tcPr>
          <w:p w14:paraId="4C1A977B" w14:textId="77777777" w:rsidR="00E87F7A" w:rsidRPr="001356F1" w:rsidRDefault="00EA2ABE" w:rsidP="00A46E98">
            <w:r>
              <w:t>Regeneration and Economy</w:t>
            </w:r>
          </w:p>
        </w:tc>
      </w:tr>
      <w:tr w:rsidR="00DF093E" w:rsidRPr="001356F1" w14:paraId="59BE4903" w14:textId="77777777" w:rsidTr="00A46E98">
        <w:trPr>
          <w:cantSplit/>
          <w:trHeight w:val="396"/>
        </w:trPr>
        <w:tc>
          <w:tcPr>
            <w:tcW w:w="3969" w:type="dxa"/>
            <w:tcBorders>
              <w:top w:val="nil"/>
              <w:left w:val="single" w:sz="8" w:space="0" w:color="000000"/>
              <w:bottom w:val="nil"/>
              <w:right w:val="nil"/>
            </w:tcBorders>
            <w:shd w:val="clear" w:color="auto" w:fill="auto"/>
          </w:tcPr>
          <w:p w14:paraId="27F6816B" w14:textId="1951248A" w:rsidR="00E87F7A" w:rsidRPr="001356F1" w:rsidRDefault="00E87F7A" w:rsidP="00A46E98">
            <w:r w:rsidRPr="001356F1">
              <w:t>Telephone</w:t>
            </w:r>
            <w:r w:rsidR="00B85F6B">
              <w:t>:</w:t>
            </w:r>
            <w:r w:rsidRPr="001356F1">
              <w:t xml:space="preserve"> </w:t>
            </w:r>
          </w:p>
        </w:tc>
        <w:tc>
          <w:tcPr>
            <w:tcW w:w="4962" w:type="dxa"/>
            <w:tcBorders>
              <w:top w:val="nil"/>
              <w:left w:val="nil"/>
              <w:bottom w:val="nil"/>
              <w:right w:val="single" w:sz="8" w:space="0" w:color="000000"/>
            </w:tcBorders>
            <w:shd w:val="clear" w:color="auto" w:fill="auto"/>
          </w:tcPr>
          <w:p w14:paraId="36CFB778" w14:textId="72CE3765" w:rsidR="00E87F7A" w:rsidRPr="001356F1" w:rsidRDefault="00916F94" w:rsidP="00916F94">
            <w:r w:rsidRPr="00916F94">
              <w:t>01865 252323,</w:t>
            </w:r>
            <w:r>
              <w:rPr>
                <w:color w:val="365F91"/>
              </w:rPr>
              <w:t xml:space="preserve"> </w:t>
            </w:r>
            <w:r w:rsidRPr="001356F1">
              <w:t xml:space="preserve">01865 </w:t>
            </w:r>
            <w:r>
              <w:t>335740,</w:t>
            </w:r>
          </w:p>
        </w:tc>
      </w:tr>
      <w:tr w:rsidR="005570B5" w:rsidRPr="001356F1" w14:paraId="14431888"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7403F0CC" w14:textId="58F37A1A" w:rsidR="00E87F7A" w:rsidRPr="001356F1" w:rsidRDefault="00E87F7A" w:rsidP="00A46E98">
            <w:r w:rsidRPr="001356F1">
              <w:t>e-mail</w:t>
            </w:r>
            <w:r w:rsidR="00B85F6B">
              <w:t>:</w:t>
            </w:r>
            <w:r w:rsidRPr="001356F1">
              <w:t xml:space="preserve"> </w:t>
            </w:r>
          </w:p>
        </w:tc>
        <w:tc>
          <w:tcPr>
            <w:tcW w:w="4962" w:type="dxa"/>
            <w:tcBorders>
              <w:top w:val="nil"/>
              <w:left w:val="nil"/>
              <w:bottom w:val="single" w:sz="8" w:space="0" w:color="000000"/>
              <w:right w:val="single" w:sz="8" w:space="0" w:color="000000"/>
            </w:tcBorders>
            <w:shd w:val="clear" w:color="auto" w:fill="auto"/>
          </w:tcPr>
          <w:p w14:paraId="1E7CD3ED" w14:textId="77777777" w:rsidR="000B79C9" w:rsidRDefault="00150D52" w:rsidP="00A46E98">
            <w:pPr>
              <w:rPr>
                <w:rStyle w:val="Hyperlink"/>
              </w:rPr>
            </w:pPr>
            <w:hyperlink r:id="rId11" w:history="1">
              <w:r w:rsidR="000B79C9" w:rsidRPr="00324659">
                <w:rPr>
                  <w:rStyle w:val="Hyperlink"/>
                </w:rPr>
                <w:t>clavallin@oxford.gov.uk</w:t>
              </w:r>
            </w:hyperlink>
          </w:p>
          <w:p w14:paraId="5639B3D9" w14:textId="35DAF727" w:rsidR="00E87F7A" w:rsidRPr="00EA2ABE" w:rsidRDefault="00150D52" w:rsidP="00A46E98">
            <w:pPr>
              <w:rPr>
                <w:rStyle w:val="Hyperlink"/>
                <w:color w:val="auto"/>
              </w:rPr>
            </w:pPr>
            <w:hyperlink r:id="rId12" w:history="1">
              <w:r w:rsidR="002F113A" w:rsidRPr="00324659">
                <w:rPr>
                  <w:rStyle w:val="Hyperlink"/>
                </w:rPr>
                <w:t>sweitzel@oxford.gov.uk</w:t>
              </w:r>
            </w:hyperlink>
          </w:p>
          <w:p w14:paraId="7EB581D7" w14:textId="29023A3E" w:rsidR="002F113A" w:rsidRPr="00EA2ABE" w:rsidRDefault="002F113A" w:rsidP="00A46E98">
            <w:pPr>
              <w:rPr>
                <w:rStyle w:val="Hyperlink"/>
                <w:color w:val="auto"/>
              </w:rPr>
            </w:pPr>
          </w:p>
        </w:tc>
      </w:tr>
    </w:tbl>
    <w:p w14:paraId="6D10E3F5"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529DAACB"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3C0623F1" w14:textId="356FD21A" w:rsidR="002F113A" w:rsidRPr="001356F1" w:rsidRDefault="00182B81" w:rsidP="00CA47B5">
            <w:r w:rsidRPr="001356F1">
              <w:rPr>
                <w:rStyle w:val="Firstpagetablebold"/>
              </w:rPr>
              <w:t xml:space="preserve">Background Papers: </w:t>
            </w:r>
            <w:r w:rsidR="006F19CC">
              <w:rPr>
                <w:rStyle w:val="Firstpagetablebold"/>
                <w:b w:val="0"/>
              </w:rPr>
              <w:t>None</w:t>
            </w:r>
          </w:p>
        </w:tc>
      </w:tr>
    </w:tbl>
    <w:p w14:paraId="249188A1" w14:textId="77777777"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EA5" w16cex:dateUtc="2020-11-10T15:22:00Z"/>
  <w16cex:commentExtensible w16cex:durableId="23552EC1" w16cex:dateUtc="2020-11-10T15:22:00Z"/>
  <w16cex:commentExtensible w16cex:durableId="23552F81" w16cex:dateUtc="2020-11-10T15:25:00Z"/>
  <w16cex:commentExtensible w16cex:durableId="23553721" w16cex:dateUtc="2020-11-10T15:58:00Z"/>
  <w16cex:commentExtensible w16cex:durableId="235537DB" w16cex:dateUtc="2020-11-10T16:01:00Z"/>
  <w16cex:commentExtensible w16cex:durableId="23553057" w16cex:dateUtc="2020-11-10T15:29:00Z"/>
  <w16cex:commentExtensible w16cex:durableId="235531F3" w16cex:dateUtc="2020-11-10T15:36:00Z"/>
  <w16cex:commentExtensible w16cex:durableId="235531FF" w16cex:dateUtc="2020-11-10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AC02A7" w16cid:durableId="23552EA5"/>
  <w16cid:commentId w16cid:paraId="465BA133" w16cid:durableId="23552EC1"/>
  <w16cid:commentId w16cid:paraId="58219A06" w16cid:durableId="23552F81"/>
  <w16cid:commentId w16cid:paraId="3CE0B297" w16cid:durableId="23553721"/>
  <w16cid:commentId w16cid:paraId="3635D728" w16cid:durableId="235537DB"/>
  <w16cid:commentId w16cid:paraId="12A12223" w16cid:durableId="23553057"/>
  <w16cid:commentId w16cid:paraId="5B91E30E" w16cid:durableId="23552E6B"/>
  <w16cid:commentId w16cid:paraId="76AB7E09" w16cid:durableId="235531F3"/>
  <w16cid:commentId w16cid:paraId="40CE7282" w16cid:durableId="235531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FE20" w14:textId="77777777" w:rsidR="00D327B9" w:rsidRDefault="00D327B9" w:rsidP="004A6D2F">
      <w:r>
        <w:separator/>
      </w:r>
    </w:p>
  </w:endnote>
  <w:endnote w:type="continuationSeparator" w:id="0">
    <w:p w14:paraId="12531481" w14:textId="77777777" w:rsidR="00D327B9" w:rsidRDefault="00D327B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4967" w14:textId="77777777" w:rsidR="00364FAD" w:rsidRDefault="00364FAD" w:rsidP="004A6D2F">
    <w:pPr>
      <w:pStyle w:val="Footer"/>
    </w:pPr>
    <w:r>
      <w:t>Do not use a footer or page numbers.</w:t>
    </w:r>
  </w:p>
  <w:p w14:paraId="1044FD2A" w14:textId="77777777" w:rsidR="00364FAD" w:rsidRDefault="00364FAD" w:rsidP="004A6D2F">
    <w:pPr>
      <w:pStyle w:val="Footer"/>
    </w:pPr>
  </w:p>
  <w:p w14:paraId="41B0FAC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30E"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3D47" w14:textId="77777777" w:rsidR="00D327B9" w:rsidRDefault="00D327B9" w:rsidP="004A6D2F">
      <w:r>
        <w:separator/>
      </w:r>
    </w:p>
  </w:footnote>
  <w:footnote w:type="continuationSeparator" w:id="0">
    <w:p w14:paraId="49924445" w14:textId="77777777" w:rsidR="00D327B9" w:rsidRDefault="00D327B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5BB5" w14:textId="77777777" w:rsidR="00D5547E" w:rsidRDefault="001638B5" w:rsidP="00D5547E">
    <w:pPr>
      <w:pStyle w:val="Header"/>
      <w:jc w:val="right"/>
    </w:pPr>
    <w:r>
      <w:rPr>
        <w:noProof/>
      </w:rPr>
      <w:drawing>
        <wp:inline distT="0" distB="0" distL="0" distR="0" wp14:anchorId="4F222671" wp14:editId="6C29A4D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19BC"/>
    <w:multiLevelType w:val="hybridMultilevel"/>
    <w:tmpl w:val="E6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4C18E6"/>
    <w:multiLevelType w:val="hybridMultilevel"/>
    <w:tmpl w:val="ADE0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8305A01"/>
    <w:multiLevelType w:val="hybridMultilevel"/>
    <w:tmpl w:val="3B8EF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F37E89"/>
    <w:multiLevelType w:val="hybridMultilevel"/>
    <w:tmpl w:val="66041E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A0F99"/>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12636"/>
    <w:multiLevelType w:val="hybridMultilevel"/>
    <w:tmpl w:val="4AD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F307A4"/>
    <w:multiLevelType w:val="hybridMultilevel"/>
    <w:tmpl w:val="BE30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F3405"/>
    <w:multiLevelType w:val="multilevel"/>
    <w:tmpl w:val="CA1E6044"/>
    <w:lvl w:ilvl="0">
      <w:start w:val="1"/>
      <w:numFmt w:val="lowerRoman"/>
      <w:lvlText w:val="%1."/>
      <w:lvlJc w:val="righ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33"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BA5FD8"/>
    <w:multiLevelType w:val="multilevel"/>
    <w:tmpl w:val="43D6D2FA"/>
    <w:numStyleLink w:val="StyleBulletedSymbolsymbolLeft063cmHanging063cm"/>
  </w:abstractNum>
  <w:abstractNum w:abstractNumId="35"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65780"/>
    <w:multiLevelType w:val="hybridMultilevel"/>
    <w:tmpl w:val="3E722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22831"/>
    <w:multiLevelType w:val="multilevel"/>
    <w:tmpl w:val="43D6D2FA"/>
    <w:numStyleLink w:val="StyleBulletedSymbolsymbolLeft063cmHanging063cm"/>
  </w:abstractNum>
  <w:abstractNum w:abstractNumId="3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045AC"/>
    <w:multiLevelType w:val="hybridMultilevel"/>
    <w:tmpl w:val="A300AD3A"/>
    <w:lvl w:ilvl="0" w:tplc="D4D0D44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52193F"/>
    <w:multiLevelType w:val="hybridMultilevel"/>
    <w:tmpl w:val="C95AFC36"/>
    <w:lvl w:ilvl="0" w:tplc="8A1018A4">
      <w:start w:val="1"/>
      <w:numFmt w:val="decimal"/>
      <w:lvlText w:val="%1)"/>
      <w:lvlJc w:val="left"/>
      <w:pPr>
        <w:ind w:left="1670" w:hanging="95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6643A6E"/>
    <w:multiLevelType w:val="hybridMultilevel"/>
    <w:tmpl w:val="85F2068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8365C6"/>
    <w:multiLevelType w:val="multilevel"/>
    <w:tmpl w:val="511E5B3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BCC227A"/>
    <w:multiLevelType w:val="hybridMultilevel"/>
    <w:tmpl w:val="879C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F0177B"/>
    <w:multiLevelType w:val="hybridMultilevel"/>
    <w:tmpl w:val="DBC84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3"/>
  </w:num>
  <w:num w:numId="2">
    <w:abstractNumId w:val="39"/>
  </w:num>
  <w:num w:numId="3">
    <w:abstractNumId w:val="27"/>
  </w:num>
  <w:num w:numId="4">
    <w:abstractNumId w:val="21"/>
  </w:num>
  <w:num w:numId="5">
    <w:abstractNumId w:val="35"/>
  </w:num>
  <w:num w:numId="6">
    <w:abstractNumId w:val="41"/>
  </w:num>
  <w:num w:numId="7">
    <w:abstractNumId w:val="26"/>
  </w:num>
  <w:num w:numId="8">
    <w:abstractNumId w:val="23"/>
  </w:num>
  <w:num w:numId="9">
    <w:abstractNumId w:val="16"/>
  </w:num>
  <w:num w:numId="10">
    <w:abstractNumId w:val="18"/>
  </w:num>
  <w:num w:numId="11">
    <w:abstractNumId w:val="30"/>
  </w:num>
  <w:num w:numId="12">
    <w:abstractNumId w:val="28"/>
  </w:num>
  <w:num w:numId="13">
    <w:abstractNumId w:val="11"/>
  </w:num>
  <w:num w:numId="14">
    <w:abstractNumId w:val="44"/>
  </w:num>
  <w:num w:numId="15">
    <w:abstractNumId w:val="19"/>
  </w:num>
  <w:num w:numId="16">
    <w:abstractNumId w:val="12"/>
  </w:num>
  <w:num w:numId="17">
    <w:abstractNumId w:val="34"/>
  </w:num>
  <w:num w:numId="18">
    <w:abstractNumId w:val="14"/>
  </w:num>
  <w:num w:numId="19">
    <w:abstractNumId w:val="37"/>
  </w:num>
  <w:num w:numId="20">
    <w:abstractNumId w:val="20"/>
  </w:num>
  <w:num w:numId="21">
    <w:abstractNumId w:val="25"/>
  </w:num>
  <w:num w:numId="22">
    <w:abstractNumId w:val="17"/>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31"/>
  </w:num>
  <w:num w:numId="36">
    <w:abstractNumId w:val="29"/>
  </w:num>
  <w:num w:numId="37">
    <w:abstractNumId w:val="15"/>
  </w:num>
  <w:num w:numId="38">
    <w:abstractNumId w:val="43"/>
  </w:num>
  <w:num w:numId="39">
    <w:abstractNumId w:val="42"/>
  </w:num>
  <w:num w:numId="40">
    <w:abstractNumId w:val="45"/>
  </w:num>
  <w:num w:numId="41">
    <w:abstractNumId w:val="32"/>
  </w:num>
  <w:num w:numId="42">
    <w:abstractNumId w:val="10"/>
  </w:num>
  <w:num w:numId="43">
    <w:abstractNumId w:val="44"/>
  </w:num>
  <w:num w:numId="44">
    <w:abstractNumId w:val="44"/>
  </w:num>
  <w:num w:numId="45">
    <w:abstractNumId w:val="4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0"/>
  </w:num>
  <w:num w:numId="49">
    <w:abstractNumId w:val="13"/>
  </w:num>
  <w:num w:numId="50">
    <w:abstractNumId w:val="44"/>
  </w:num>
  <w:num w:numId="51">
    <w:abstractNumId w:val="44"/>
  </w:num>
  <w:num w:numId="52">
    <w:abstractNumId w:val="44"/>
  </w:num>
  <w:num w:numId="53">
    <w:abstractNumId w:val="44"/>
  </w:num>
  <w:num w:numId="54">
    <w:abstractNumId w:val="46"/>
  </w:num>
  <w:num w:numId="55">
    <w:abstractNumId w:val="44"/>
  </w:num>
  <w:num w:numId="56">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1A"/>
    <w:rsid w:val="000117D4"/>
    <w:rsid w:val="000264F9"/>
    <w:rsid w:val="000314D7"/>
    <w:rsid w:val="00032DA2"/>
    <w:rsid w:val="00034CB7"/>
    <w:rsid w:val="0004137D"/>
    <w:rsid w:val="00045F8B"/>
    <w:rsid w:val="00046D2B"/>
    <w:rsid w:val="000522D6"/>
    <w:rsid w:val="00054F68"/>
    <w:rsid w:val="00056263"/>
    <w:rsid w:val="00057772"/>
    <w:rsid w:val="00064D8A"/>
    <w:rsid w:val="00064F82"/>
    <w:rsid w:val="00066510"/>
    <w:rsid w:val="00076B64"/>
    <w:rsid w:val="00077523"/>
    <w:rsid w:val="00081894"/>
    <w:rsid w:val="0009337D"/>
    <w:rsid w:val="0009374C"/>
    <w:rsid w:val="0009501B"/>
    <w:rsid w:val="000A1F44"/>
    <w:rsid w:val="000B247A"/>
    <w:rsid w:val="000B79C9"/>
    <w:rsid w:val="000B7F18"/>
    <w:rsid w:val="000C089F"/>
    <w:rsid w:val="000C3928"/>
    <w:rsid w:val="000C5E8E"/>
    <w:rsid w:val="000E6B9D"/>
    <w:rsid w:val="000F4751"/>
    <w:rsid w:val="000F5429"/>
    <w:rsid w:val="000F7BC0"/>
    <w:rsid w:val="0010524C"/>
    <w:rsid w:val="00110FA5"/>
    <w:rsid w:val="00111FB1"/>
    <w:rsid w:val="00113418"/>
    <w:rsid w:val="00115793"/>
    <w:rsid w:val="001169A1"/>
    <w:rsid w:val="00130175"/>
    <w:rsid w:val="001356F1"/>
    <w:rsid w:val="00136994"/>
    <w:rsid w:val="0014128E"/>
    <w:rsid w:val="00142994"/>
    <w:rsid w:val="00150D52"/>
    <w:rsid w:val="00151888"/>
    <w:rsid w:val="001638B5"/>
    <w:rsid w:val="00170A2D"/>
    <w:rsid w:val="001752AD"/>
    <w:rsid w:val="001808BC"/>
    <w:rsid w:val="00182904"/>
    <w:rsid w:val="00182B81"/>
    <w:rsid w:val="001853BB"/>
    <w:rsid w:val="0018619D"/>
    <w:rsid w:val="001A011E"/>
    <w:rsid w:val="001A066A"/>
    <w:rsid w:val="001A13E6"/>
    <w:rsid w:val="001A5731"/>
    <w:rsid w:val="001B08EB"/>
    <w:rsid w:val="001B42C3"/>
    <w:rsid w:val="001C0538"/>
    <w:rsid w:val="001C1E24"/>
    <w:rsid w:val="001C5D5E"/>
    <w:rsid w:val="001C7655"/>
    <w:rsid w:val="001D1D78"/>
    <w:rsid w:val="001D678D"/>
    <w:rsid w:val="001E03F8"/>
    <w:rsid w:val="001E14D7"/>
    <w:rsid w:val="001E1678"/>
    <w:rsid w:val="001E3376"/>
    <w:rsid w:val="001F2466"/>
    <w:rsid w:val="001F4B43"/>
    <w:rsid w:val="002069B3"/>
    <w:rsid w:val="00207471"/>
    <w:rsid w:val="002329CF"/>
    <w:rsid w:val="00232F5B"/>
    <w:rsid w:val="0024195D"/>
    <w:rsid w:val="00247C29"/>
    <w:rsid w:val="00257BF6"/>
    <w:rsid w:val="00260467"/>
    <w:rsid w:val="00261EB6"/>
    <w:rsid w:val="002633FB"/>
    <w:rsid w:val="00263EA3"/>
    <w:rsid w:val="002642A5"/>
    <w:rsid w:val="00265301"/>
    <w:rsid w:val="002717C6"/>
    <w:rsid w:val="00274FB3"/>
    <w:rsid w:val="0027785B"/>
    <w:rsid w:val="0028279C"/>
    <w:rsid w:val="00284F85"/>
    <w:rsid w:val="0028559E"/>
    <w:rsid w:val="00286355"/>
    <w:rsid w:val="00286AC8"/>
    <w:rsid w:val="00290915"/>
    <w:rsid w:val="00292FF4"/>
    <w:rsid w:val="00294319"/>
    <w:rsid w:val="002A0EC2"/>
    <w:rsid w:val="002A22E2"/>
    <w:rsid w:val="002A3BBC"/>
    <w:rsid w:val="002B75AE"/>
    <w:rsid w:val="002C64F7"/>
    <w:rsid w:val="002D2AEF"/>
    <w:rsid w:val="002F0C8F"/>
    <w:rsid w:val="002F113A"/>
    <w:rsid w:val="002F41F2"/>
    <w:rsid w:val="002F5FA2"/>
    <w:rsid w:val="00301BF3"/>
    <w:rsid w:val="0030208D"/>
    <w:rsid w:val="00305188"/>
    <w:rsid w:val="00320744"/>
    <w:rsid w:val="00323418"/>
    <w:rsid w:val="00323ECA"/>
    <w:rsid w:val="003357BF"/>
    <w:rsid w:val="00336539"/>
    <w:rsid w:val="00341C75"/>
    <w:rsid w:val="00347F91"/>
    <w:rsid w:val="003648AD"/>
    <w:rsid w:val="00364FAD"/>
    <w:rsid w:val="0036738F"/>
    <w:rsid w:val="0036759C"/>
    <w:rsid w:val="00367AE5"/>
    <w:rsid w:val="00367D71"/>
    <w:rsid w:val="0037187C"/>
    <w:rsid w:val="0038150A"/>
    <w:rsid w:val="00396D00"/>
    <w:rsid w:val="003A1BC3"/>
    <w:rsid w:val="003A3CA1"/>
    <w:rsid w:val="003B6E75"/>
    <w:rsid w:val="003B7DA1"/>
    <w:rsid w:val="003D0379"/>
    <w:rsid w:val="003D078E"/>
    <w:rsid w:val="003D2574"/>
    <w:rsid w:val="003D4C59"/>
    <w:rsid w:val="003E5083"/>
    <w:rsid w:val="003F4267"/>
    <w:rsid w:val="00404032"/>
    <w:rsid w:val="0040736F"/>
    <w:rsid w:val="00412C1F"/>
    <w:rsid w:val="00421CB2"/>
    <w:rsid w:val="00423290"/>
    <w:rsid w:val="004250E7"/>
    <w:rsid w:val="004268B9"/>
    <w:rsid w:val="00433B96"/>
    <w:rsid w:val="004376AC"/>
    <w:rsid w:val="00442B1A"/>
    <w:rsid w:val="004440F1"/>
    <w:rsid w:val="004456DD"/>
    <w:rsid w:val="00446CDF"/>
    <w:rsid w:val="00450985"/>
    <w:rsid w:val="004521B7"/>
    <w:rsid w:val="00462AB5"/>
    <w:rsid w:val="00465EAF"/>
    <w:rsid w:val="004738C5"/>
    <w:rsid w:val="00475CCC"/>
    <w:rsid w:val="00476B40"/>
    <w:rsid w:val="00484900"/>
    <w:rsid w:val="00491046"/>
    <w:rsid w:val="00494595"/>
    <w:rsid w:val="0049524D"/>
    <w:rsid w:val="004A0BAF"/>
    <w:rsid w:val="004A2943"/>
    <w:rsid w:val="004A2AC7"/>
    <w:rsid w:val="004A4139"/>
    <w:rsid w:val="004A6D2F"/>
    <w:rsid w:val="004B0210"/>
    <w:rsid w:val="004B524B"/>
    <w:rsid w:val="004C2887"/>
    <w:rsid w:val="004C73F0"/>
    <w:rsid w:val="004D0A89"/>
    <w:rsid w:val="004D2626"/>
    <w:rsid w:val="004D2E40"/>
    <w:rsid w:val="004D6E26"/>
    <w:rsid w:val="004D77D3"/>
    <w:rsid w:val="004E2959"/>
    <w:rsid w:val="004E48A7"/>
    <w:rsid w:val="004F0275"/>
    <w:rsid w:val="004F10E2"/>
    <w:rsid w:val="004F20EF"/>
    <w:rsid w:val="004F21FA"/>
    <w:rsid w:val="0050321C"/>
    <w:rsid w:val="00505831"/>
    <w:rsid w:val="00535ACA"/>
    <w:rsid w:val="005368A2"/>
    <w:rsid w:val="00543F31"/>
    <w:rsid w:val="0054712D"/>
    <w:rsid w:val="00547EF6"/>
    <w:rsid w:val="005570B5"/>
    <w:rsid w:val="00567E18"/>
    <w:rsid w:val="00575F5F"/>
    <w:rsid w:val="00581805"/>
    <w:rsid w:val="00585F76"/>
    <w:rsid w:val="005A08FD"/>
    <w:rsid w:val="005A34E4"/>
    <w:rsid w:val="005A36E8"/>
    <w:rsid w:val="005B0861"/>
    <w:rsid w:val="005B17F2"/>
    <w:rsid w:val="005B7FB0"/>
    <w:rsid w:val="005C0019"/>
    <w:rsid w:val="005C35A5"/>
    <w:rsid w:val="005C577C"/>
    <w:rsid w:val="005D010A"/>
    <w:rsid w:val="005D0621"/>
    <w:rsid w:val="005D1E27"/>
    <w:rsid w:val="005D2A3E"/>
    <w:rsid w:val="005E022E"/>
    <w:rsid w:val="005E0BE6"/>
    <w:rsid w:val="005E5215"/>
    <w:rsid w:val="005F22CB"/>
    <w:rsid w:val="005F7F7E"/>
    <w:rsid w:val="00614693"/>
    <w:rsid w:val="00622BBA"/>
    <w:rsid w:val="00623C2F"/>
    <w:rsid w:val="00633578"/>
    <w:rsid w:val="00637068"/>
    <w:rsid w:val="00650811"/>
    <w:rsid w:val="00661D3E"/>
    <w:rsid w:val="006839FC"/>
    <w:rsid w:val="006865E3"/>
    <w:rsid w:val="00692627"/>
    <w:rsid w:val="006969E7"/>
    <w:rsid w:val="006A3402"/>
    <w:rsid w:val="006A3643"/>
    <w:rsid w:val="006A4A39"/>
    <w:rsid w:val="006B1E6B"/>
    <w:rsid w:val="006B451B"/>
    <w:rsid w:val="006C2A29"/>
    <w:rsid w:val="006C51CC"/>
    <w:rsid w:val="006C64CF"/>
    <w:rsid w:val="006D17B1"/>
    <w:rsid w:val="006D4752"/>
    <w:rsid w:val="006D708A"/>
    <w:rsid w:val="006D70B2"/>
    <w:rsid w:val="006E14C1"/>
    <w:rsid w:val="006E3E68"/>
    <w:rsid w:val="006F0292"/>
    <w:rsid w:val="006F19CC"/>
    <w:rsid w:val="006F27FA"/>
    <w:rsid w:val="006F416B"/>
    <w:rsid w:val="006F519B"/>
    <w:rsid w:val="00713675"/>
    <w:rsid w:val="00715823"/>
    <w:rsid w:val="00724479"/>
    <w:rsid w:val="00726111"/>
    <w:rsid w:val="0073145A"/>
    <w:rsid w:val="00737B93"/>
    <w:rsid w:val="0074521E"/>
    <w:rsid w:val="00745BF0"/>
    <w:rsid w:val="007615FE"/>
    <w:rsid w:val="0076655C"/>
    <w:rsid w:val="007742DC"/>
    <w:rsid w:val="00776550"/>
    <w:rsid w:val="0078075E"/>
    <w:rsid w:val="00791437"/>
    <w:rsid w:val="007B0C2C"/>
    <w:rsid w:val="007B278E"/>
    <w:rsid w:val="007B44DC"/>
    <w:rsid w:val="007C14E1"/>
    <w:rsid w:val="007C1CB2"/>
    <w:rsid w:val="007C5C23"/>
    <w:rsid w:val="007E2A26"/>
    <w:rsid w:val="007F09EC"/>
    <w:rsid w:val="007F2348"/>
    <w:rsid w:val="00803F07"/>
    <w:rsid w:val="00805945"/>
    <w:rsid w:val="0080749A"/>
    <w:rsid w:val="00812CF6"/>
    <w:rsid w:val="00821FB8"/>
    <w:rsid w:val="00822ACD"/>
    <w:rsid w:val="00834ADF"/>
    <w:rsid w:val="00854E32"/>
    <w:rsid w:val="00855C66"/>
    <w:rsid w:val="00871EE4"/>
    <w:rsid w:val="0087451C"/>
    <w:rsid w:val="00877B37"/>
    <w:rsid w:val="008823DB"/>
    <w:rsid w:val="008A0259"/>
    <w:rsid w:val="008B293F"/>
    <w:rsid w:val="008B3EB8"/>
    <w:rsid w:val="008B7371"/>
    <w:rsid w:val="008C1E7F"/>
    <w:rsid w:val="008D3DDB"/>
    <w:rsid w:val="008E4F5A"/>
    <w:rsid w:val="008E5A61"/>
    <w:rsid w:val="008E5B84"/>
    <w:rsid w:val="008F253F"/>
    <w:rsid w:val="008F573F"/>
    <w:rsid w:val="009034EC"/>
    <w:rsid w:val="00904210"/>
    <w:rsid w:val="00916F94"/>
    <w:rsid w:val="00923228"/>
    <w:rsid w:val="0093067A"/>
    <w:rsid w:val="00934DF2"/>
    <w:rsid w:val="00941C60"/>
    <w:rsid w:val="00941FD1"/>
    <w:rsid w:val="009515C4"/>
    <w:rsid w:val="00954F26"/>
    <w:rsid w:val="00955380"/>
    <w:rsid w:val="009623B8"/>
    <w:rsid w:val="00966D42"/>
    <w:rsid w:val="00971689"/>
    <w:rsid w:val="00973E90"/>
    <w:rsid w:val="00975B07"/>
    <w:rsid w:val="009762CC"/>
    <w:rsid w:val="00980B4A"/>
    <w:rsid w:val="009837DF"/>
    <w:rsid w:val="009A6D6C"/>
    <w:rsid w:val="009B4F91"/>
    <w:rsid w:val="009B5D05"/>
    <w:rsid w:val="009D2E4C"/>
    <w:rsid w:val="009D7B46"/>
    <w:rsid w:val="009D7CEB"/>
    <w:rsid w:val="009E3D0A"/>
    <w:rsid w:val="009E51FC"/>
    <w:rsid w:val="009F1D28"/>
    <w:rsid w:val="009F65CB"/>
    <w:rsid w:val="009F7618"/>
    <w:rsid w:val="00A04D23"/>
    <w:rsid w:val="00A06766"/>
    <w:rsid w:val="00A11C1F"/>
    <w:rsid w:val="00A13765"/>
    <w:rsid w:val="00A140CD"/>
    <w:rsid w:val="00A14523"/>
    <w:rsid w:val="00A15430"/>
    <w:rsid w:val="00A21B12"/>
    <w:rsid w:val="00A23F80"/>
    <w:rsid w:val="00A30C5D"/>
    <w:rsid w:val="00A429C2"/>
    <w:rsid w:val="00A46E98"/>
    <w:rsid w:val="00A517D6"/>
    <w:rsid w:val="00A6352B"/>
    <w:rsid w:val="00A701B5"/>
    <w:rsid w:val="00A714BB"/>
    <w:rsid w:val="00A73B41"/>
    <w:rsid w:val="00A7422F"/>
    <w:rsid w:val="00A74C81"/>
    <w:rsid w:val="00A77147"/>
    <w:rsid w:val="00A830A5"/>
    <w:rsid w:val="00A92D8F"/>
    <w:rsid w:val="00AB2988"/>
    <w:rsid w:val="00AB7999"/>
    <w:rsid w:val="00AD1621"/>
    <w:rsid w:val="00AD3292"/>
    <w:rsid w:val="00AD6A3B"/>
    <w:rsid w:val="00AD75A0"/>
    <w:rsid w:val="00AE7AF0"/>
    <w:rsid w:val="00B07B26"/>
    <w:rsid w:val="00B104F6"/>
    <w:rsid w:val="00B1407A"/>
    <w:rsid w:val="00B37B47"/>
    <w:rsid w:val="00B46917"/>
    <w:rsid w:val="00B500CA"/>
    <w:rsid w:val="00B514B3"/>
    <w:rsid w:val="00B53100"/>
    <w:rsid w:val="00B63DC9"/>
    <w:rsid w:val="00B65B4A"/>
    <w:rsid w:val="00B811F9"/>
    <w:rsid w:val="00B85F6B"/>
    <w:rsid w:val="00B86314"/>
    <w:rsid w:val="00B86AC2"/>
    <w:rsid w:val="00B91673"/>
    <w:rsid w:val="00B94A20"/>
    <w:rsid w:val="00BA1C2E"/>
    <w:rsid w:val="00BC200B"/>
    <w:rsid w:val="00BC2D5F"/>
    <w:rsid w:val="00BC4756"/>
    <w:rsid w:val="00BC4C28"/>
    <w:rsid w:val="00BC667D"/>
    <w:rsid w:val="00BC69A4"/>
    <w:rsid w:val="00BD4B12"/>
    <w:rsid w:val="00BD551D"/>
    <w:rsid w:val="00BE0680"/>
    <w:rsid w:val="00BE305F"/>
    <w:rsid w:val="00BE7BA3"/>
    <w:rsid w:val="00BF2EBF"/>
    <w:rsid w:val="00BF5682"/>
    <w:rsid w:val="00BF7B09"/>
    <w:rsid w:val="00C10988"/>
    <w:rsid w:val="00C20A95"/>
    <w:rsid w:val="00C25412"/>
    <w:rsid w:val="00C2692F"/>
    <w:rsid w:val="00C3207C"/>
    <w:rsid w:val="00C368EA"/>
    <w:rsid w:val="00C400E1"/>
    <w:rsid w:val="00C41187"/>
    <w:rsid w:val="00C518AB"/>
    <w:rsid w:val="00C56898"/>
    <w:rsid w:val="00C5796E"/>
    <w:rsid w:val="00C63C31"/>
    <w:rsid w:val="00C7219D"/>
    <w:rsid w:val="00C757A0"/>
    <w:rsid w:val="00C760DE"/>
    <w:rsid w:val="00C82630"/>
    <w:rsid w:val="00C84F3A"/>
    <w:rsid w:val="00C85B4E"/>
    <w:rsid w:val="00C907F7"/>
    <w:rsid w:val="00C914BF"/>
    <w:rsid w:val="00CA2103"/>
    <w:rsid w:val="00CA47B5"/>
    <w:rsid w:val="00CA6B95"/>
    <w:rsid w:val="00CB6B99"/>
    <w:rsid w:val="00CC4170"/>
    <w:rsid w:val="00CE208F"/>
    <w:rsid w:val="00CE2C77"/>
    <w:rsid w:val="00CE4C87"/>
    <w:rsid w:val="00CE544A"/>
    <w:rsid w:val="00CF5A87"/>
    <w:rsid w:val="00D04300"/>
    <w:rsid w:val="00D102BD"/>
    <w:rsid w:val="00D11E1C"/>
    <w:rsid w:val="00D12CD3"/>
    <w:rsid w:val="00D160B0"/>
    <w:rsid w:val="00D16BC3"/>
    <w:rsid w:val="00D17F94"/>
    <w:rsid w:val="00D223FC"/>
    <w:rsid w:val="00D26D1E"/>
    <w:rsid w:val="00D327B9"/>
    <w:rsid w:val="00D474CF"/>
    <w:rsid w:val="00D52E61"/>
    <w:rsid w:val="00D5547E"/>
    <w:rsid w:val="00D612ED"/>
    <w:rsid w:val="00D70609"/>
    <w:rsid w:val="00D76DA8"/>
    <w:rsid w:val="00D77A31"/>
    <w:rsid w:val="00D8438A"/>
    <w:rsid w:val="00D860E2"/>
    <w:rsid w:val="00D869A1"/>
    <w:rsid w:val="00D93B71"/>
    <w:rsid w:val="00D94025"/>
    <w:rsid w:val="00D952C3"/>
    <w:rsid w:val="00DA413F"/>
    <w:rsid w:val="00DA4584"/>
    <w:rsid w:val="00DA52C6"/>
    <w:rsid w:val="00DA614B"/>
    <w:rsid w:val="00DB2EE6"/>
    <w:rsid w:val="00DB3C1D"/>
    <w:rsid w:val="00DB7AD7"/>
    <w:rsid w:val="00DC3060"/>
    <w:rsid w:val="00DD2DAC"/>
    <w:rsid w:val="00DE0FB2"/>
    <w:rsid w:val="00DF093E"/>
    <w:rsid w:val="00DF54DF"/>
    <w:rsid w:val="00DF6945"/>
    <w:rsid w:val="00E01F42"/>
    <w:rsid w:val="00E15CB1"/>
    <w:rsid w:val="00E206D6"/>
    <w:rsid w:val="00E224B4"/>
    <w:rsid w:val="00E315E9"/>
    <w:rsid w:val="00E31DC4"/>
    <w:rsid w:val="00E3366E"/>
    <w:rsid w:val="00E4428C"/>
    <w:rsid w:val="00E51F81"/>
    <w:rsid w:val="00E52086"/>
    <w:rsid w:val="00E53C63"/>
    <w:rsid w:val="00E543A6"/>
    <w:rsid w:val="00E571E9"/>
    <w:rsid w:val="00E60479"/>
    <w:rsid w:val="00E61D73"/>
    <w:rsid w:val="00E657DF"/>
    <w:rsid w:val="00E66D2D"/>
    <w:rsid w:val="00E66EF3"/>
    <w:rsid w:val="00E73684"/>
    <w:rsid w:val="00E7436D"/>
    <w:rsid w:val="00E76B6C"/>
    <w:rsid w:val="00E80D80"/>
    <w:rsid w:val="00E818D6"/>
    <w:rsid w:val="00E85D7E"/>
    <w:rsid w:val="00E87F7A"/>
    <w:rsid w:val="00E94B3E"/>
    <w:rsid w:val="00E96BD7"/>
    <w:rsid w:val="00EA0DB1"/>
    <w:rsid w:val="00EA0EE9"/>
    <w:rsid w:val="00EA28D0"/>
    <w:rsid w:val="00EA2ABE"/>
    <w:rsid w:val="00EA4954"/>
    <w:rsid w:val="00EA4C22"/>
    <w:rsid w:val="00EA5261"/>
    <w:rsid w:val="00EB1EB5"/>
    <w:rsid w:val="00EB37E5"/>
    <w:rsid w:val="00EC769C"/>
    <w:rsid w:val="00EC7C9E"/>
    <w:rsid w:val="00ED3534"/>
    <w:rsid w:val="00ED52CA"/>
    <w:rsid w:val="00ED5860"/>
    <w:rsid w:val="00ED726C"/>
    <w:rsid w:val="00EE25BA"/>
    <w:rsid w:val="00EE35C9"/>
    <w:rsid w:val="00F05ECA"/>
    <w:rsid w:val="00F133BB"/>
    <w:rsid w:val="00F14EC1"/>
    <w:rsid w:val="00F178F4"/>
    <w:rsid w:val="00F20A8B"/>
    <w:rsid w:val="00F3566E"/>
    <w:rsid w:val="00F375FB"/>
    <w:rsid w:val="00F37EE6"/>
    <w:rsid w:val="00F41AC1"/>
    <w:rsid w:val="00F4367A"/>
    <w:rsid w:val="00F445B1"/>
    <w:rsid w:val="00F45CD4"/>
    <w:rsid w:val="00F47F2A"/>
    <w:rsid w:val="00F6011A"/>
    <w:rsid w:val="00F66DCA"/>
    <w:rsid w:val="00F711D2"/>
    <w:rsid w:val="00F74364"/>
    <w:rsid w:val="00F74F53"/>
    <w:rsid w:val="00F7606D"/>
    <w:rsid w:val="00F81670"/>
    <w:rsid w:val="00F82024"/>
    <w:rsid w:val="00F95BC9"/>
    <w:rsid w:val="00FA624C"/>
    <w:rsid w:val="00FA6FD0"/>
    <w:rsid w:val="00FD0FAC"/>
    <w:rsid w:val="00FD1DFA"/>
    <w:rsid w:val="00FD4966"/>
    <w:rsid w:val="00FD5583"/>
    <w:rsid w:val="00FE57DC"/>
    <w:rsid w:val="00FF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99C1ED"/>
  <w15:docId w15:val="{7191D679-CCA1-4CAE-9487-FC782298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8377">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242224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91846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221895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4185742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51469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2965091">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0537730">
      <w:bodyDiv w:val="1"/>
      <w:marLeft w:val="0"/>
      <w:marRight w:val="0"/>
      <w:marTop w:val="0"/>
      <w:marBottom w:val="0"/>
      <w:divBdr>
        <w:top w:val="none" w:sz="0" w:space="0" w:color="auto"/>
        <w:left w:val="none" w:sz="0" w:space="0" w:color="auto"/>
        <w:bottom w:val="none" w:sz="0" w:space="0" w:color="auto"/>
        <w:right w:val="none" w:sz="0" w:space="0" w:color="auto"/>
      </w:divBdr>
    </w:div>
    <w:div w:id="1896890655">
      <w:bodyDiv w:val="1"/>
      <w:marLeft w:val="0"/>
      <w:marRight w:val="0"/>
      <w:marTop w:val="0"/>
      <w:marBottom w:val="0"/>
      <w:divBdr>
        <w:top w:val="none" w:sz="0" w:space="0" w:color="auto"/>
        <w:left w:val="none" w:sz="0" w:space="0" w:color="auto"/>
        <w:bottom w:val="none" w:sz="0" w:space="0" w:color="auto"/>
        <w:right w:val="none" w:sz="0" w:space="0" w:color="auto"/>
      </w:divBdr>
    </w:div>
    <w:div w:id="21158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weitzel@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vallin@oxford.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B2466-00D2-45CF-A29B-04749DBA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4BD7B740</Template>
  <TotalTime>3</TotalTime>
  <Pages>6</Pages>
  <Words>2439</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Weitzel</dc:creator>
  <cp:lastModifiedBy>MITCHELL John</cp:lastModifiedBy>
  <cp:revision>4</cp:revision>
  <cp:lastPrinted>2015-07-03T12:50:00Z</cp:lastPrinted>
  <dcterms:created xsi:type="dcterms:W3CDTF">2020-11-13T12:03:00Z</dcterms:created>
  <dcterms:modified xsi:type="dcterms:W3CDTF">2020-11-26T12:09:00Z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